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37A4A">
      <w:pPr>
        <w:jc w:val="left"/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highlight w:val="none"/>
          <w:lang w:val="en-US" w:eastAsia="zh-CN"/>
        </w:rPr>
        <w:t>3</w:t>
      </w:r>
    </w:p>
    <w:p w14:paraId="1AC0A4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方正小标宋_GBK" w:cs="Times New Roman"/>
          <w:sz w:val="32"/>
          <w:szCs w:val="32"/>
          <w:highlight w:val="none"/>
        </w:rPr>
        <w:t>行业标准修改通知单</w:t>
      </w:r>
    </w:p>
    <w:p w14:paraId="376581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华文中宋" w:cs="Times New Roman"/>
          <w:sz w:val="24"/>
          <w:highlight w:val="none"/>
        </w:rPr>
      </w:pPr>
      <w:r>
        <w:rPr>
          <w:rFonts w:hint="default" w:ascii="Times New Roman" w:hAnsi="Times New Roman" w:eastAsia="华文中宋" w:cs="Times New Roman"/>
          <w:sz w:val="24"/>
          <w:highlight w:val="none"/>
        </w:rPr>
        <w:t>NB/T 10</w:t>
      </w:r>
      <w:r>
        <w:rPr>
          <w:rFonts w:hint="default" w:ascii="Times New Roman" w:hAnsi="Times New Roman" w:eastAsia="华文中宋" w:cs="Times New Roman"/>
          <w:sz w:val="24"/>
          <w:highlight w:val="none"/>
          <w:lang w:val="en-US" w:eastAsia="zh-CN"/>
        </w:rPr>
        <w:t>862-</w:t>
      </w:r>
      <w:r>
        <w:rPr>
          <w:rFonts w:hint="default" w:ascii="Times New Roman" w:hAnsi="Times New Roman" w:eastAsia="华文中宋" w:cs="Times New Roman"/>
          <w:sz w:val="24"/>
          <w:highlight w:val="none"/>
        </w:rPr>
        <w:t>2021</w:t>
      </w:r>
    </w:p>
    <w:p w14:paraId="1B8DD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华文中宋" w:cs="Times New Roman"/>
          <w:sz w:val="24"/>
          <w:highlight w:val="none"/>
        </w:rPr>
      </w:pPr>
      <w:r>
        <w:rPr>
          <w:rFonts w:hint="default" w:ascii="Times New Roman" w:hAnsi="Times New Roman" w:eastAsia="华文中宋" w:cs="Times New Roman"/>
          <w:sz w:val="24"/>
          <w:highlight w:val="none"/>
        </w:rPr>
        <w:t>《</w:t>
      </w:r>
      <w:r>
        <w:rPr>
          <w:rFonts w:hint="default" w:ascii="Times New Roman" w:hAnsi="Times New Roman" w:eastAsia="华文中宋" w:cs="Times New Roman"/>
          <w:sz w:val="24"/>
          <w:highlight w:val="none"/>
          <w:lang w:val="en-US" w:eastAsia="zh-CN"/>
        </w:rPr>
        <w:t>水电工程集运鱼系统设计规范</w:t>
      </w:r>
      <w:r>
        <w:rPr>
          <w:rFonts w:hint="default" w:ascii="Times New Roman" w:hAnsi="Times New Roman" w:eastAsia="华文中宋" w:cs="Times New Roman"/>
          <w:sz w:val="24"/>
          <w:highlight w:val="none"/>
        </w:rPr>
        <w:t>》</w:t>
      </w:r>
    </w:p>
    <w:p w14:paraId="075DB7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480" w:lineRule="exact"/>
        <w:jc w:val="center"/>
        <w:textAlignment w:val="auto"/>
        <w:rPr>
          <w:rFonts w:hint="default" w:ascii="Times New Roman" w:hAnsi="Times New Roman" w:eastAsia="华文中宋" w:cs="Times New Roman"/>
          <w:sz w:val="24"/>
          <w:highlight w:val="none"/>
        </w:rPr>
      </w:pPr>
      <w:r>
        <w:rPr>
          <w:rFonts w:hint="default" w:ascii="Times New Roman" w:hAnsi="Times New Roman" w:eastAsia="华文中宋" w:cs="Times New Roman"/>
          <w:sz w:val="24"/>
          <w:highlight w:val="none"/>
        </w:rPr>
        <w:t>第</w:t>
      </w:r>
      <w:r>
        <w:rPr>
          <w:rFonts w:hint="default" w:ascii="Times New Roman" w:hAnsi="Times New Roman" w:eastAsia="华文中宋" w:cs="Times New Roman"/>
          <w:sz w:val="24"/>
          <w:highlight w:val="none"/>
          <w:lang w:val="en-US" w:eastAsia="zh-CN"/>
        </w:rPr>
        <w:t>1</w:t>
      </w:r>
      <w:r>
        <w:rPr>
          <w:rFonts w:hint="default" w:ascii="Times New Roman" w:hAnsi="Times New Roman" w:eastAsia="华文中宋" w:cs="Times New Roman"/>
          <w:sz w:val="24"/>
          <w:highlight w:val="none"/>
        </w:rPr>
        <w:t>号修改单</w:t>
      </w:r>
    </w:p>
    <w:p w14:paraId="19086D2D">
      <w:pPr>
        <w:ind w:firstLine="420" w:firstLineChars="200"/>
        <w:rPr>
          <w:rFonts w:hint="default" w:ascii="Times New Roman" w:hAnsi="Times New Roman" w:eastAsia="华文中宋" w:cs="Times New Roman"/>
          <w:highlight w:val="none"/>
        </w:rPr>
      </w:pPr>
      <w:r>
        <w:rPr>
          <w:rFonts w:hint="default" w:ascii="Times New Roman" w:hAnsi="Times New Roman" w:eastAsia="华文中宋" w:cs="Times New Roman"/>
          <w:highlight w:val="none"/>
        </w:rPr>
        <w:t>本修改单经国家能源局202</w:t>
      </w:r>
      <w:r>
        <w:rPr>
          <w:rFonts w:hint="default" w:ascii="Times New Roman" w:hAnsi="Times New Roman" w:eastAsia="华文中宋" w:cs="Times New Roman"/>
          <w:highlight w:val="none"/>
          <w:lang w:val="en-US" w:eastAsia="zh-CN"/>
        </w:rPr>
        <w:t>5</w:t>
      </w:r>
      <w:r>
        <w:rPr>
          <w:rFonts w:hint="default" w:ascii="Times New Roman" w:hAnsi="Times New Roman" w:eastAsia="华文中宋" w:cs="Times New Roman"/>
          <w:highlight w:val="none"/>
        </w:rPr>
        <w:t>年</w:t>
      </w:r>
      <w:r>
        <w:rPr>
          <w:rFonts w:hint="default" w:ascii="Times New Roman" w:hAnsi="Times New Roman" w:eastAsia="华文中宋" w:cs="Times New Roman"/>
          <w:highlight w:val="none"/>
          <w:lang w:val="en-US" w:eastAsia="zh-CN"/>
        </w:rPr>
        <w:t>6</w:t>
      </w:r>
      <w:r>
        <w:rPr>
          <w:rFonts w:hint="default" w:ascii="Times New Roman" w:hAnsi="Times New Roman" w:eastAsia="华文中宋" w:cs="Times New Roman"/>
          <w:highlight w:val="none"/>
        </w:rPr>
        <w:t>月</w:t>
      </w:r>
      <w:r>
        <w:rPr>
          <w:rFonts w:hint="eastAsia" w:ascii="Times New Roman" w:hAnsi="Times New Roman" w:eastAsia="华文中宋" w:cs="Times New Roman"/>
          <w:highlight w:val="none"/>
          <w:lang w:val="en-US" w:eastAsia="zh-CN"/>
        </w:rPr>
        <w:t>30</w:t>
      </w:r>
      <w:r>
        <w:rPr>
          <w:rFonts w:hint="default" w:ascii="Times New Roman" w:hAnsi="Times New Roman" w:eastAsia="华文中宋" w:cs="Times New Roman"/>
          <w:highlight w:val="none"/>
        </w:rPr>
        <w:t>日以第</w:t>
      </w:r>
      <w:r>
        <w:rPr>
          <w:rFonts w:hint="eastAsia" w:ascii="Times New Roman" w:hAnsi="Times New Roman" w:eastAsia="华文中宋" w:cs="Times New Roman"/>
          <w:highlight w:val="none"/>
          <w:lang w:val="en-US" w:eastAsia="zh-CN"/>
        </w:rPr>
        <w:t>3</w:t>
      </w:r>
      <w:r>
        <w:rPr>
          <w:rFonts w:hint="default" w:ascii="Times New Roman" w:hAnsi="Times New Roman" w:eastAsia="华文中宋" w:cs="Times New Roman"/>
          <w:highlight w:val="none"/>
        </w:rPr>
        <w:t>号公告批准，</w:t>
      </w:r>
      <w:r>
        <w:rPr>
          <w:rFonts w:hint="default" w:ascii="Times New Roman" w:hAnsi="Times New Roman" w:eastAsia="华文中宋" w:cs="Times New Roman"/>
          <w:b w:val="0"/>
          <w:bCs w:val="0"/>
          <w:sz w:val="21"/>
          <w:szCs w:val="21"/>
          <w:lang w:val="en-US" w:eastAsia="zh-CN"/>
        </w:rPr>
        <w:t>自发布之日起实施。</w:t>
      </w:r>
    </w:p>
    <w:p w14:paraId="4AB07711">
      <w:pPr>
        <w:ind w:firstLine="420" w:firstLineChars="200"/>
        <w:rPr>
          <w:rFonts w:hint="default" w:ascii="Times New Roman" w:hAnsi="Times New Roman" w:eastAsia="华文中宋" w:cs="Times New Roman"/>
          <w:highlight w:val="none"/>
        </w:rPr>
      </w:pPr>
      <w:r>
        <w:rPr>
          <w:rFonts w:hint="default" w:ascii="Times New Roman" w:hAnsi="Times New Roman" w:eastAsia="华文中宋" w:cs="Times New Roman"/>
          <w:sz w:val="21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140335</wp:posOffset>
                </wp:positionH>
                <wp:positionV relativeFrom="paragraph">
                  <wp:posOffset>62865</wp:posOffset>
                </wp:positionV>
                <wp:extent cx="5442585" cy="6985"/>
                <wp:effectExtent l="0" t="6350" r="5715" b="1524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988060" y="2824480"/>
                          <a:ext cx="5442585" cy="69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1.05pt;margin-top:4.95pt;height:0.55pt;width:428.55pt;z-index:251660288;mso-width-relative:page;mso-height-relative:page;" filled="f" stroked="t" coordsize="21600,21600" o:gfxdata="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fvfNB9QAAAAHAQAADwAAAAAAAAABACAAAAAiAAAAZHJzL2Rvd25yZXYueG1sUEsB&#10;AhQAFAAAAAgAh07iQGipmmn5AQAAygMAAA4AAAAAAAAAAQAgAAAAIwEAAGRycy9lMm9Eb2MueG1s&#10;UEsFBgAAAAAGAAYAWQEAAI4FAAAAAA==&#10;">
                <v:fill on="f" focussize="0,0"/>
                <v:stroke weight="1pt" color="#000000 [3213]" miterlimit="8" joinstyle="miter"/>
                <v:imagedata o:title=""/>
                <o:lock v:ext="edit" aspectratio="f"/>
              </v:line>
            </w:pict>
          </mc:Fallback>
        </mc:AlternateContent>
      </w:r>
    </w:p>
    <w:p w14:paraId="659621FE">
      <w:pPr>
        <w:rPr>
          <w:rFonts w:hint="default" w:ascii="Times New Roman" w:hAnsi="Times New Roman" w:eastAsia="方正黑体_GBK" w:cs="Times New Roman"/>
          <w:highlight w:val="none"/>
        </w:rPr>
      </w:pPr>
      <w:r>
        <w:rPr>
          <w:rFonts w:hint="default" w:ascii="Times New Roman" w:hAnsi="Times New Roman" w:eastAsia="方正黑体_GBK" w:cs="Times New Roman"/>
          <w:highlight w:val="none"/>
        </w:rPr>
        <w:t>更改：</w:t>
      </w:r>
    </w:p>
    <w:p w14:paraId="58A69A4D">
      <w:pPr>
        <w:numPr>
          <w:ilvl w:val="0"/>
          <w:numId w:val="1"/>
        </w:numPr>
        <w:ind w:firstLine="420" w:firstLineChars="200"/>
        <w:rPr>
          <w:rFonts w:hint="default" w:ascii="Times New Roman" w:hAnsi="Times New Roman" w:cs="Times New Roman" w:eastAsiaTheme="minorEastAsia"/>
          <w:highlight w:val="none"/>
          <w:lang w:val="en-US" w:eastAsia="zh-CN"/>
        </w:rPr>
      </w:pPr>
      <w:r>
        <w:rPr>
          <w:rFonts w:hint="default" w:ascii="Times New Roman" w:hAnsi="Times New Roman" w:cs="Times New Roman" w:eastAsiaTheme="minorEastAsia"/>
          <w:highlight w:val="none"/>
          <w:lang w:val="en-US" w:eastAsia="zh-CN"/>
        </w:rPr>
        <w:t>第10.3.4条“......。电场强度应根据过鱼对象耐受性设计，供电电源可为220 V交流电源或220 V交流电经脉冲发生仪形成的直流脉冲电源。......。”修改为“......。电场强度应根据过鱼对象耐受性设计，供电电源可为由220 V交流或220 V直流电源经脉冲发生仪形成的直流脉冲电源。......。”</w:t>
      </w:r>
    </w:p>
    <w:p w14:paraId="33300F53">
      <w:pPr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30004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DCD4AD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DCD4AD">
                    <w:pPr>
                      <w:pStyle w:val="2"/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65D7CB"/>
    <w:multiLevelType w:val="singleLevel"/>
    <w:tmpl w:val="DE65D7CB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FDEF2BEC"/>
    <w:rsid w:val="FBF708B3"/>
    <w:rsid w:val="FDEF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2025-06-27T17:34:00Z</dcterms:created>
  <dc:creator>user</dc:creator>
  <cp:lastModifiedBy>user</cp:lastModifiedBy>
  <dcterms:modified xsi:type="dcterms:W3CDTF">2025-07-03T11:24:11Z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3D6C1987A5DB65A526F55D681B619CF5_41</vt:lpwstr>
  </property>
</Properties>
</file>