
<file path=[Content_Types].xml><?xml version="1.0" encoding="utf-8"?>
<Types xmlns="http://schemas.openxmlformats.org/package/2006/content-types">
  <Default Extension="xml" ContentType="application/xml"/>
  <Default Extension="bin" ContentType="application/vnd.openxmlformats-officedocument.oleObject"/>
  <Default Extension="wmf" ContentType="image/x-wmf"/>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ackground w:color="FFFFFF"/>
  <w:body>
    <w:p>
      <w:pPr>
        <w:widowControl/>
        <w:tabs>
          <w:tab w:val="center" w:pos="4201"/>
          <w:tab w:val="right" w:leader="dot" w:pos="9298"/>
        </w:tabs>
        <w:topLinePunct w:val="0"/>
        <w:autoSpaceDE w:val="0"/>
        <w:autoSpaceDN w:val="0"/>
        <w:adjustRightInd/>
        <w:ind w:firstLine="420" w:firstLineChars="200"/>
        <w:rPr>
          <w:rFonts w:ascii="宋体"/>
          <w:kern w:val="0"/>
        </w:rPr>
      </w:pPr>
      <w:bookmarkStart w:id="0" w:name="_Toc215649669"/>
      <w:bookmarkStart w:id="1" w:name="SectionMark2"/>
    </w:p>
    <w:p>
      <w:pPr>
        <w:widowControl/>
        <w:tabs>
          <w:tab w:val="center" w:pos="4201"/>
          <w:tab w:val="right" w:leader="dot" w:pos="9298"/>
        </w:tabs>
        <w:topLinePunct w:val="0"/>
        <w:autoSpaceDE w:val="0"/>
        <w:autoSpaceDN w:val="0"/>
        <w:adjustRightInd/>
        <w:ind w:firstLine="420" w:firstLineChars="200"/>
        <w:rPr>
          <w:rFonts w:ascii="宋体"/>
          <w:kern w:val="0"/>
        </w:rPr>
      </w:pPr>
      <w:r>
        <mc:AlternateContent>
          <mc:Choice Requires="wps">
            <w:drawing>
              <wp:anchor distT="0" distB="0" distL="114300" distR="114300" simplePos="0" relativeHeight="251669504" behindDoc="0" locked="0" layoutInCell="1" allowOverlap="1">
                <wp:simplePos x="0" y="0"/>
                <wp:positionH relativeFrom="column">
                  <wp:posOffset>66675</wp:posOffset>
                </wp:positionH>
                <wp:positionV relativeFrom="paragraph">
                  <wp:posOffset>104775</wp:posOffset>
                </wp:positionV>
                <wp:extent cx="1800225" cy="518795"/>
                <wp:effectExtent l="0" t="0" r="0" b="0"/>
                <wp:wrapNone/>
                <wp:docPr id="11" name="首页自画框图2"/>
                <wp:cNvGraphicFramePr/>
                <a:graphic xmlns:a="http://schemas.openxmlformats.org/drawingml/2006/main">
                  <a:graphicData uri="http://schemas.microsoft.com/office/word/2010/wordprocessingShape">
                    <wps:wsp>
                      <wps:cNvSpPr txBox="1"/>
                      <wps:spPr>
                        <a:xfrm>
                          <a:off x="0" y="0"/>
                          <a:ext cx="1800225" cy="720090"/>
                        </a:xfrm>
                        <a:prstGeom prst="rect">
                          <a:avLst/>
                        </a:prstGeom>
                        <a:noFill/>
                        <a:ln w="6350">
                          <a:noFill/>
                        </a:ln>
                        <a:effectLst/>
                      </wps:spPr>
                      <wps:txbx>
                        <w:txbxContent>
                          <w:p>
                            <w:pPr>
                              <w:pStyle w:val="377"/>
                              <w:rPr>
                                <w:rFonts w:hint="default" w:eastAsia="黑体"/>
                                <w:lang w:val="en-US" w:eastAsia="zh-CN"/>
                              </w:rPr>
                            </w:pPr>
                            <w:r>
                              <w:t xml:space="preserve">ICS </w:t>
                            </w:r>
                            <w:r>
                              <w:rPr>
                                <w:rFonts w:hint="eastAsia"/>
                                <w:lang w:val="en-US" w:eastAsia="zh-CN"/>
                              </w:rPr>
                              <w:t>29</w:t>
                            </w:r>
                            <w:r>
                              <w:rPr>
                                <w:rFonts w:hint="eastAsia"/>
                              </w:rPr>
                              <w:t>.</w:t>
                            </w:r>
                            <w:r>
                              <w:rPr>
                                <w:rFonts w:hint="eastAsia"/>
                                <w:lang w:val="en-US" w:eastAsia="zh-CN"/>
                              </w:rPr>
                              <w:t>240.01</w:t>
                            </w:r>
                          </w:p>
                          <w:p>
                            <w:pPr>
                              <w:pStyle w:val="377"/>
                            </w:pPr>
                            <w:r>
                              <w:rPr>
                                <w:rFonts w:hint="eastAsia"/>
                              </w:rPr>
                              <w:t xml:space="preserve">F </w:t>
                            </w:r>
                            <w:r>
                              <w:rPr>
                                <w:rFonts w:hint="eastAsia"/>
                                <w:lang w:val="en-US" w:eastAsia="zh-CN"/>
                              </w:rPr>
                              <w:t>2</w:t>
                            </w:r>
                            <w:r>
                              <w:rPr>
                                <w:rFonts w:hint="eastAsia"/>
                              </w:rPr>
                              <w:t>1</w:t>
                            </w:r>
                          </w:p>
                          <w:p>
                            <w:pPr>
                              <w:pStyle w:val="377"/>
                              <w:rPr>
                                <w:rFonts w:hint="eastAsia"/>
                              </w:rPr>
                            </w:pPr>
                          </w:p>
                        </w:txbxContent>
                      </wps:txbx>
                      <wps:bodyPr rot="0" spcFirstLastPara="0" vertOverflow="overflow" horzOverflow="overflow" vert="horz" wrap="square" lIns="0" tIns="0" rIns="91440" bIns="0" numCol="1" spcCol="0" rtlCol="0" fromWordArt="0" anchor="t" anchorCtr="0" forceAA="0" compatLnSpc="1">
                        <a:spAutoFit/>
                      </wps:bodyPr>
                    </wps:wsp>
                  </a:graphicData>
                </a:graphic>
              </wp:anchor>
            </w:drawing>
          </mc:Choice>
          <mc:Fallback>
            <w:pict>
              <v:shape id="首页自画框图2" o:spid="_x0000_s1026" o:spt="202" type="#_x0000_t202" style="position:absolute;left:0pt;margin-left:5.25pt;margin-top:8.25pt;height:40.85pt;width:141.75pt;z-index:251669504;mso-width-relative:page;mso-height-relative:page;" filled="f" stroked="f" coordsize="21600,21600" o:gfxdata="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">
                <v:fill on="f" focussize="0,0"/>
                <v:stroke on="f" weight="0.5pt"/>
                <v:imagedata o:title=""/>
                <o:lock v:ext="edit" aspectratio="f"/>
                <v:textbox inset="0mm,0mm,2.54mm,0mm" style="mso-fit-shape-to-text:t;">
                  <w:txbxContent>
                    <w:p>
                      <w:pPr>
                        <w:pStyle w:val="377"/>
                        <w:rPr>
                          <w:rFonts w:hint="default" w:eastAsia="黑体"/>
                          <w:lang w:val="en-US" w:eastAsia="zh-CN"/>
                        </w:rPr>
                      </w:pPr>
                      <w:r>
                        <w:t xml:space="preserve">ICS </w:t>
                      </w:r>
                      <w:r>
                        <w:rPr>
                          <w:rFonts w:hint="eastAsia"/>
                          <w:lang w:val="en-US" w:eastAsia="zh-CN"/>
                        </w:rPr>
                        <w:t>29</w:t>
                      </w:r>
                      <w:r>
                        <w:rPr>
                          <w:rFonts w:hint="eastAsia"/>
                        </w:rPr>
                        <w:t>.</w:t>
                      </w:r>
                      <w:r>
                        <w:rPr>
                          <w:rFonts w:hint="eastAsia"/>
                          <w:lang w:val="en-US" w:eastAsia="zh-CN"/>
                        </w:rPr>
                        <w:t>240.01</w:t>
                      </w:r>
                    </w:p>
                    <w:p>
                      <w:pPr>
                        <w:pStyle w:val="377"/>
                      </w:pPr>
                      <w:r>
                        <w:rPr>
                          <w:rFonts w:hint="eastAsia"/>
                        </w:rPr>
                        <w:t xml:space="preserve">F </w:t>
                      </w:r>
                      <w:r>
                        <w:rPr>
                          <w:rFonts w:hint="eastAsia"/>
                          <w:lang w:val="en-US" w:eastAsia="zh-CN"/>
                        </w:rPr>
                        <w:t>2</w:t>
                      </w:r>
                      <w:r>
                        <w:rPr>
                          <w:rFonts w:hint="eastAsia"/>
                        </w:rPr>
                        <w:t>1</w:t>
                      </w:r>
                    </w:p>
                    <w:p>
                      <w:pPr>
                        <w:pStyle w:val="377"/>
                        <w:rPr>
                          <w:rFonts w:hint="eastAsia"/>
                        </w:rPr>
                      </w:pPr>
                    </w:p>
                  </w:txbxContent>
                </v:textbox>
              </v:shape>
            </w:pict>
          </mc:Fallback>
        </mc:AlternateContent>
      </w:r>
    </w:p>
    <w:p>
      <w:pPr>
        <w:topLinePunct w:val="0"/>
        <w:adjustRightInd/>
        <w:rPr>
          <w:rFonts w:ascii="宋体"/>
        </w:rPr>
      </w:pPr>
    </w:p>
    <w:p>
      <w:pPr>
        <w:pStyle w:val="225"/>
        <w:spacing w:line="360" w:lineRule="auto"/>
        <w:jc w:val="both"/>
        <w:outlineLvl w:val="9"/>
        <w:rPr>
          <w:rFonts w:hint="eastAsia"/>
        </w:rPr>
      </w:pPr>
      <w:bookmarkStart w:id="2" w:name="标准封面"/>
      <w:bookmarkEnd w:id="2"/>
      <w:bookmarkStart w:id="3" w:name="_Toc163398461"/>
      <w:bookmarkStart w:id="4" w:name="_Toc156204893"/>
      <w:bookmarkStart w:id="5" w:name="_Toc161993926"/>
      <w:bookmarkStart w:id="6" w:name="_Toc161997624"/>
      <w:bookmarkStart w:id="7" w:name="_Toc155082075"/>
      <w:bookmarkStart w:id="8" w:name="_Toc161998466"/>
      <w:bookmarkStart w:id="9" w:name="_Toc161994749"/>
      <w:bookmarkStart w:id="10" w:name="_Toc163457062"/>
      <w:bookmarkStart w:id="11" w:name="_Toc161993491"/>
      <w:bookmarkStart w:id="12" w:name="_Toc164088679"/>
      <w:bookmarkStart w:id="13" w:name="_Toc163458322"/>
      <w:bookmarkStart w:id="14" w:name="_Toc156204869"/>
      <w:bookmarkStart w:id="15" w:name="_Toc161997806"/>
      <w:bookmarkStart w:id="16" w:name="_Toc161997029"/>
      <w:bookmarkStart w:id="17" w:name="_Toc161994608"/>
      <w:bookmarkStart w:id="18" w:name="_Toc161998127"/>
      <w:bookmarkStart w:id="19" w:name="_Toc163458487"/>
      <w:bookmarkStart w:id="20" w:name="_Toc163458201"/>
      <w:bookmarkStart w:id="21" w:name="_Toc161991873"/>
      <w:bookmarkStart w:id="22" w:name="_Toc155082151"/>
      <w:bookmarkStart w:id="23" w:name="_Toc161997937"/>
      <w:bookmarkStart w:id="24" w:name="_Toc155081940"/>
      <w:bookmarkStart w:id="25" w:name="_Toc161994292"/>
      <w:bookmarkStart w:id="26" w:name="_Toc155081989"/>
      <w:bookmarkStart w:id="27" w:name="_Toc161991930"/>
      <w:bookmarkStart w:id="28" w:name="_Toc161993402"/>
      <w:bookmarkStart w:id="29" w:name="_Toc163457116"/>
      <w:bookmarkStart w:id="30" w:name="_Toc156204795"/>
      <w:bookmarkStart w:id="31" w:name="_Toc161993284"/>
      <w:r>
        <mc:AlternateContent>
          <mc:Choice Requires="wps">
            <w:drawing>
              <wp:anchor distT="0" distB="0" distL="114300" distR="114300" simplePos="0" relativeHeight="251667456" behindDoc="0" locked="1" layoutInCell="1" allowOverlap="1">
                <wp:simplePos x="0" y="0"/>
                <wp:positionH relativeFrom="margin">
                  <wp:posOffset>2722880</wp:posOffset>
                </wp:positionH>
                <wp:positionV relativeFrom="margin">
                  <wp:posOffset>312420</wp:posOffset>
                </wp:positionV>
                <wp:extent cx="3175000" cy="720090"/>
                <wp:effectExtent l="0" t="0" r="6350" b="3810"/>
                <wp:wrapNone/>
                <wp:docPr id="9" name="fmFrame8"/>
                <wp:cNvGraphicFramePr/>
                <a:graphic xmlns:a="http://schemas.openxmlformats.org/drawingml/2006/main">
                  <a:graphicData uri="http://schemas.microsoft.com/office/word/2010/wordprocessingShape">
                    <wps:wsp>
                      <wps:cNvSpPr txBox="1"/>
                      <wps:spPr>
                        <a:xfrm>
                          <a:off x="0" y="0"/>
                          <a:ext cx="3175000" cy="720090"/>
                        </a:xfrm>
                        <a:prstGeom prst="rect">
                          <a:avLst/>
                        </a:prstGeom>
                        <a:solidFill>
                          <a:srgbClr val="FFFFFF"/>
                        </a:solidFill>
                        <a:ln>
                          <a:noFill/>
                        </a:ln>
                      </wps:spPr>
                      <wps:txbx>
                        <w:txbxContent>
                          <w:p>
                            <w:pPr>
                              <w:pStyle w:val="433"/>
                              <w:rPr>
                                <w:rFonts w:hint="eastAsia" w:eastAsia="宋体"/>
                                <w:lang w:eastAsia="zh-CN"/>
                              </w:rPr>
                            </w:pPr>
                            <w:r>
                              <w:rPr>
                                <w:rFonts w:hint="eastAsia"/>
                                <w:lang w:val="en-US" w:eastAsia="zh-CN"/>
                              </w:rPr>
                              <w:t>DL</w:t>
                            </w:r>
                          </w:p>
                        </w:txbxContent>
                      </wps:txbx>
                      <wps:bodyPr wrap="square" lIns="0" tIns="0" rIns="0" bIns="0" upright="1"/>
                    </wps:wsp>
                  </a:graphicData>
                </a:graphic>
              </wp:anchor>
            </w:drawing>
          </mc:Choice>
          <mc:Fallback>
            <w:pict>
              <v:shape id="fmFrame8" o:spid="_x0000_s1026" o:spt="202" type="#_x0000_t202" style="position:absolute;left:0pt;margin-left:214.4pt;margin-top:24.6pt;height:56.7pt;width:250pt;mso-position-horizontal-relative:margin;mso-position-vertical-relative:margin;z-index:251667456;mso-width-relative:page;mso-height-relative:page;" fillcolor="#FFFFFF" filled="t" stroked="f" coordsize="21600,21600" o:gfxdata="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">
                <v:fill on="t" focussize="0,0"/>
                <v:stroke on="f"/>
                <v:imagedata o:title=""/>
                <o:lock v:ext="edit" aspectratio="f"/>
                <v:textbox inset="0mm,0mm,0mm,0mm">
                  <w:txbxContent>
                    <w:p>
                      <w:pPr>
                        <w:pStyle w:val="433"/>
                        <w:rPr>
                          <w:rFonts w:hint="eastAsia" w:eastAsia="宋体"/>
                          <w:lang w:eastAsia="zh-CN"/>
                        </w:rPr>
                      </w:pPr>
                      <w:r>
                        <w:rPr>
                          <w:rFonts w:hint="eastAsia"/>
                          <w:lang w:val="en-US" w:eastAsia="zh-CN"/>
                        </w:rPr>
                        <w:t>DL</w:t>
                      </w:r>
                    </w:p>
                  </w:txbxContent>
                </v:textbox>
                <w10:anchorlock/>
              </v:shape>
            </w:pict>
          </mc:Fallback>
        </mc:AlternateContent>
      </w:r>
      <w:r>
        <mc:AlternateContent>
          <mc:Choice Requires="wps">
            <w:drawing>
              <wp:anchor distT="0" distB="0" distL="114300" distR="114300" simplePos="0" relativeHeight="251666432" behindDoc="0" locked="1" layoutInCell="1" allowOverlap="1">
                <wp:simplePos x="0" y="0"/>
                <wp:positionH relativeFrom="margin">
                  <wp:posOffset>2667000</wp:posOffset>
                </wp:positionH>
                <wp:positionV relativeFrom="margin">
                  <wp:posOffset>-2733040</wp:posOffset>
                </wp:positionV>
                <wp:extent cx="3175000" cy="720090"/>
                <wp:effectExtent l="0" t="0" r="6350" b="3810"/>
                <wp:wrapNone/>
                <wp:docPr id="8" name="fmFrame8"/>
                <wp:cNvGraphicFramePr/>
                <a:graphic xmlns:a="http://schemas.openxmlformats.org/drawingml/2006/main">
                  <a:graphicData uri="http://schemas.microsoft.com/office/word/2010/wordprocessingShape">
                    <wps:wsp>
                      <wps:cNvSpPr txBox="1"/>
                      <wps:spPr>
                        <a:xfrm>
                          <a:off x="0" y="0"/>
                          <a:ext cx="3175000" cy="720090"/>
                        </a:xfrm>
                        <a:prstGeom prst="rect">
                          <a:avLst/>
                        </a:prstGeom>
                        <a:solidFill>
                          <a:srgbClr val="FFFFFF"/>
                        </a:solidFill>
                        <a:ln>
                          <a:noFill/>
                        </a:ln>
                      </wps:spPr>
                      <wps:txbx>
                        <w:txbxContent>
                          <w:p>
                            <w:pPr>
                              <w:pStyle w:val="433"/>
                            </w:pPr>
                            <w:r>
                              <w:rPr>
                                <w:rFonts w:hint="eastAsia"/>
                              </w:rPr>
                              <w:t>NB</w:t>
                            </w:r>
                          </w:p>
                        </w:txbxContent>
                      </wps:txbx>
                      <wps:bodyPr wrap="square" lIns="0" tIns="0" rIns="0" bIns="0" upright="1"/>
                    </wps:wsp>
                  </a:graphicData>
                </a:graphic>
              </wp:anchor>
            </w:drawing>
          </mc:Choice>
          <mc:Fallback>
            <w:pict>
              <v:shape id="fmFrame8" o:spid="_x0000_s1026" o:spt="202" type="#_x0000_t202" style="position:absolute;left:0pt;margin-left:210pt;margin-top:-215.2pt;height:56.7pt;width:250pt;mso-position-horizontal-relative:margin;mso-position-vertical-relative:margin;z-index:251666432;mso-width-relative:page;mso-height-relative:page;" fillcolor="#FFFFFF" filled="t" stroked="f" coordsize="21600,21600" o:gfxdata="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">
                <v:fill on="t" focussize="0,0"/>
                <v:stroke on="f"/>
                <v:imagedata o:title=""/>
                <o:lock v:ext="edit" aspectratio="f"/>
                <v:textbox inset="0mm,0mm,0mm,0mm">
                  <w:txbxContent>
                    <w:p>
                      <w:pPr>
                        <w:pStyle w:val="433"/>
                      </w:pPr>
                      <w:r>
                        <w:rPr>
                          <w:rFonts w:hint="eastAsia"/>
                        </w:rPr>
                        <w:t>NB</w:t>
                      </w:r>
                    </w:p>
                  </w:txbxContent>
                </v:textbox>
                <w10:anchorlock/>
              </v:shape>
            </w:pict>
          </mc:Fallback>
        </mc:AlternateContent>
      </w:r>
      <w:bookmarkEnd w:id="3"/>
      <w:bookmarkEnd w:id="4"/>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p>
    <w:p>
      <w:pPr>
        <w:pStyle w:val="120"/>
        <w:spacing w:line="360" w:lineRule="auto"/>
        <w:ind w:firstLine="420"/>
      </w:pPr>
      <w:r>
        <mc:AlternateContent>
          <mc:Choice Requires="wps">
            <w:drawing>
              <wp:anchor distT="0" distB="0" distL="114300" distR="114300" simplePos="0" relativeHeight="251659264" behindDoc="0" locked="0" layoutInCell="1" allowOverlap="1">
                <wp:simplePos x="0" y="0"/>
                <wp:positionH relativeFrom="column">
                  <wp:posOffset>-114300</wp:posOffset>
                </wp:positionH>
                <wp:positionV relativeFrom="paragraph">
                  <wp:posOffset>31115</wp:posOffset>
                </wp:positionV>
                <wp:extent cx="6286500" cy="431800"/>
                <wp:effectExtent l="0" t="0" r="0" b="6350"/>
                <wp:wrapNone/>
                <wp:docPr id="1" name="文本框 1040"/>
                <wp:cNvGraphicFramePr/>
                <a:graphic xmlns:a="http://schemas.openxmlformats.org/drawingml/2006/main">
                  <a:graphicData uri="http://schemas.microsoft.com/office/word/2010/wordprocessingShape">
                    <wps:wsp>
                      <wps:cNvSpPr txBox="1"/>
                      <wps:spPr>
                        <a:xfrm>
                          <a:off x="0" y="0"/>
                          <a:ext cx="6286500" cy="431800"/>
                        </a:xfrm>
                        <a:prstGeom prst="rect">
                          <a:avLst/>
                        </a:prstGeom>
                        <a:solidFill>
                          <a:srgbClr val="FFFFFF"/>
                        </a:solidFill>
                        <a:ln>
                          <a:noFill/>
                        </a:ln>
                      </wps:spPr>
                      <wps:txbx>
                        <w:txbxContent>
                          <w:p>
                            <w:pPr>
                              <w:widowControl/>
                              <w:topLinePunct w:val="0"/>
                              <w:adjustRightInd/>
                              <w:spacing w:line="0" w:lineRule="atLeast"/>
                              <w:jc w:val="distribute"/>
                              <w:rPr>
                                <w:rFonts w:ascii="黑体" w:hAnsi="宋体" w:eastAsia="黑体"/>
                                <w:spacing w:val="-40"/>
                                <w:kern w:val="0"/>
                                <w:sz w:val="48"/>
                                <w:szCs w:val="52"/>
                              </w:rPr>
                            </w:pPr>
                            <w:r>
                              <w:rPr>
                                <w:rFonts w:hint="eastAsia" w:ascii="黑体" w:hAnsi="宋体" w:eastAsia="黑体"/>
                                <w:spacing w:val="-40"/>
                                <w:kern w:val="0"/>
                                <w:sz w:val="48"/>
                                <w:szCs w:val="52"/>
                              </w:rPr>
                              <w:t>中华人民共和国</w:t>
                            </w:r>
                            <w:r>
                              <w:rPr>
                                <w:rFonts w:hint="eastAsia" w:ascii="黑体" w:hAnsi="宋体" w:eastAsia="黑体"/>
                                <w:spacing w:val="-40"/>
                                <w:kern w:val="0"/>
                                <w:sz w:val="48"/>
                                <w:szCs w:val="52"/>
                                <w:lang w:val="en-US" w:eastAsia="zh-CN"/>
                              </w:rPr>
                              <w:t>电力</w:t>
                            </w:r>
                            <w:r>
                              <w:rPr>
                                <w:rFonts w:hint="eastAsia" w:ascii="黑体" w:hAnsi="宋体" w:eastAsia="黑体"/>
                                <w:spacing w:val="-40"/>
                                <w:kern w:val="0"/>
                                <w:sz w:val="48"/>
                                <w:szCs w:val="52"/>
                              </w:rPr>
                              <w:t>行业标准</w:t>
                            </w:r>
                          </w:p>
                          <w:p>
                            <w:pPr>
                              <w:pStyle w:val="220"/>
                              <w:jc w:val="center"/>
                              <w:rPr>
                                <w:spacing w:val="0"/>
                                <w:w w:val="140"/>
                              </w:rPr>
                            </w:pPr>
                          </w:p>
                        </w:txbxContent>
                      </wps:txbx>
                      <wps:bodyPr wrap="square" lIns="0" tIns="0" rIns="91440" bIns="45720" upright="1"/>
                    </wps:wsp>
                  </a:graphicData>
                </a:graphic>
              </wp:anchor>
            </w:drawing>
          </mc:Choice>
          <mc:Fallback>
            <w:pict>
              <v:shape id="文本框 1040" o:spid="_x0000_s1026" o:spt="202" type="#_x0000_t202" style="position:absolute;left:0pt;margin-left:-9pt;margin-top:2.45pt;height:34pt;width:495pt;z-index:251659264;mso-width-relative:page;mso-height-relative:page;" fillcolor="#FFFFFF" filled="t" stroked="f" coordsize="21600,21600" o:gfxdata="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">
                <v:fill on="t" focussize="0,0"/>
                <v:stroke on="f"/>
                <v:imagedata o:title=""/>
                <o:lock v:ext="edit" aspectratio="f"/>
                <v:textbox inset="0mm,0mm,2.54mm,1.27mm">
                  <w:txbxContent>
                    <w:p>
                      <w:pPr>
                        <w:widowControl/>
                        <w:topLinePunct w:val="0"/>
                        <w:adjustRightInd/>
                        <w:spacing w:line="0" w:lineRule="atLeast"/>
                        <w:jc w:val="distribute"/>
                        <w:rPr>
                          <w:rFonts w:ascii="黑体" w:hAnsi="宋体" w:eastAsia="黑体"/>
                          <w:spacing w:val="-40"/>
                          <w:kern w:val="0"/>
                          <w:sz w:val="48"/>
                          <w:szCs w:val="52"/>
                        </w:rPr>
                      </w:pPr>
                      <w:r>
                        <w:rPr>
                          <w:rFonts w:hint="eastAsia" w:ascii="黑体" w:hAnsi="宋体" w:eastAsia="黑体"/>
                          <w:spacing w:val="-40"/>
                          <w:kern w:val="0"/>
                          <w:sz w:val="48"/>
                          <w:szCs w:val="52"/>
                        </w:rPr>
                        <w:t>中华人民共和国</w:t>
                      </w:r>
                      <w:r>
                        <w:rPr>
                          <w:rFonts w:hint="eastAsia" w:ascii="黑体" w:hAnsi="宋体" w:eastAsia="黑体"/>
                          <w:spacing w:val="-40"/>
                          <w:kern w:val="0"/>
                          <w:sz w:val="48"/>
                          <w:szCs w:val="52"/>
                          <w:lang w:val="en-US" w:eastAsia="zh-CN"/>
                        </w:rPr>
                        <w:t>电力</w:t>
                      </w:r>
                      <w:r>
                        <w:rPr>
                          <w:rFonts w:hint="eastAsia" w:ascii="黑体" w:hAnsi="宋体" w:eastAsia="黑体"/>
                          <w:spacing w:val="-40"/>
                          <w:kern w:val="0"/>
                          <w:sz w:val="48"/>
                          <w:szCs w:val="52"/>
                        </w:rPr>
                        <w:t>行业标准</w:t>
                      </w:r>
                    </w:p>
                    <w:p>
                      <w:pPr>
                        <w:pStyle w:val="220"/>
                        <w:jc w:val="center"/>
                        <w:rPr>
                          <w:spacing w:val="0"/>
                          <w:w w:val="140"/>
                        </w:rPr>
                      </w:pPr>
                    </w:p>
                  </w:txbxContent>
                </v:textbox>
              </v:shape>
            </w:pict>
          </mc:Fallback>
        </mc:AlternateContent>
      </w:r>
      <w:r>
        <mc:AlternateContent>
          <mc:Choice Requires="wps">
            <w:drawing>
              <wp:anchor distT="0" distB="0" distL="114300" distR="114300" simplePos="0" relativeHeight="251662336" behindDoc="0" locked="0" layoutInCell="1" allowOverlap="1">
                <wp:simplePos x="0" y="0"/>
                <wp:positionH relativeFrom="column">
                  <wp:posOffset>635</wp:posOffset>
                </wp:positionH>
                <wp:positionV relativeFrom="paragraph">
                  <wp:posOffset>2726055</wp:posOffset>
                </wp:positionV>
                <wp:extent cx="6120765" cy="4320540"/>
                <wp:effectExtent l="0" t="0" r="13335" b="3810"/>
                <wp:wrapNone/>
                <wp:docPr id="4" name="文本框 1043"/>
                <wp:cNvGraphicFramePr/>
                <a:graphic xmlns:a="http://schemas.openxmlformats.org/drawingml/2006/main">
                  <a:graphicData uri="http://schemas.microsoft.com/office/word/2010/wordprocessingShape">
                    <wps:wsp>
                      <wps:cNvSpPr txBox="1"/>
                      <wps:spPr>
                        <a:xfrm>
                          <a:off x="0" y="0"/>
                          <a:ext cx="6120765" cy="4320540"/>
                        </a:xfrm>
                        <a:prstGeom prst="rect">
                          <a:avLst/>
                        </a:prstGeom>
                        <a:solidFill>
                          <a:srgbClr val="FFFFFF"/>
                        </a:solidFill>
                        <a:ln>
                          <a:noFill/>
                        </a:ln>
                      </wps:spPr>
                      <wps:txbx>
                        <w:txbxContent>
                          <w:p>
                            <w:pPr>
                              <w:spacing w:line="600" w:lineRule="exact"/>
                              <w:jc w:val="center"/>
                              <w:rPr>
                                <w:rFonts w:hint="eastAsia" w:ascii="Times New Roman" w:hAnsi="Times New Roman" w:eastAsia="方正黑体_GBK" w:cs="Times New Roman"/>
                                <w:spacing w:val="-11"/>
                                <w:sz w:val="54"/>
                              </w:rPr>
                            </w:pPr>
                            <w:r>
                              <w:rPr>
                                <w:rFonts w:hint="eastAsia" w:eastAsia="方正黑体_GBK"/>
                                <w:spacing w:val="-11"/>
                                <w:sz w:val="54"/>
                              </w:rPr>
                              <w:t>分布式电源</w:t>
                            </w:r>
                            <w:r>
                              <w:rPr>
                                <w:rFonts w:hint="eastAsia" w:ascii="Times New Roman" w:hAnsi="Times New Roman" w:eastAsia="方正黑体_GBK" w:cs="Times New Roman"/>
                                <w:spacing w:val="-11"/>
                                <w:sz w:val="54"/>
                              </w:rPr>
                              <w:t>接入</w:t>
                            </w:r>
                            <w:r>
                              <w:rPr>
                                <w:rFonts w:hint="eastAsia" w:eastAsia="方正黑体_GBK" w:cs="Times New Roman"/>
                                <w:spacing w:val="-11"/>
                                <w:sz w:val="54"/>
                                <w:lang w:val="en-US" w:eastAsia="zh-CN"/>
                              </w:rPr>
                              <w:t>电力系统</w:t>
                            </w:r>
                            <w:r>
                              <w:rPr>
                                <w:rFonts w:hint="eastAsia" w:ascii="Times New Roman" w:hAnsi="Times New Roman" w:eastAsia="方正黑体_GBK" w:cs="Times New Roman"/>
                                <w:spacing w:val="-11"/>
                                <w:sz w:val="54"/>
                              </w:rPr>
                              <w:t>承载力评估导则</w:t>
                            </w:r>
                          </w:p>
                          <w:p>
                            <w:pPr>
                              <w:spacing w:before="260" w:line="280" w:lineRule="exact"/>
                              <w:jc w:val="center"/>
                              <w:rPr>
                                <w:rFonts w:hint="eastAsia" w:eastAsia="黑体"/>
                                <w:b/>
                                <w:sz w:val="18"/>
                              </w:rPr>
                            </w:pPr>
                          </w:p>
                          <w:p>
                            <w:pPr>
                              <w:jc w:val="center"/>
                              <w:rPr>
                                <w:rFonts w:hint="eastAsia"/>
                                <w:b/>
                                <w:sz w:val="28"/>
                              </w:rPr>
                            </w:pPr>
                            <w:r>
                              <w:rPr>
                                <w:rFonts w:hint="eastAsia"/>
                                <w:b/>
                                <w:sz w:val="28"/>
                                <w:lang w:val="en-US" w:eastAsia="zh-CN"/>
                              </w:rPr>
                              <w:t>G</w:t>
                            </w:r>
                            <w:r>
                              <w:rPr>
                                <w:rFonts w:hint="eastAsia"/>
                                <w:b/>
                                <w:sz w:val="28"/>
                              </w:rPr>
                              <w:t>uideline</w:t>
                            </w:r>
                            <w:r>
                              <w:rPr>
                                <w:rFonts w:hint="eastAsia"/>
                                <w:b/>
                                <w:sz w:val="28"/>
                                <w:lang w:val="en-US" w:eastAsia="zh-CN"/>
                              </w:rPr>
                              <w:t>s</w:t>
                            </w:r>
                            <w:r>
                              <w:rPr>
                                <w:rFonts w:hint="eastAsia"/>
                                <w:b/>
                                <w:sz w:val="28"/>
                              </w:rPr>
                              <w:t xml:space="preserve"> for evaluating power </w:t>
                            </w:r>
                            <w:r>
                              <w:rPr>
                                <w:rFonts w:hint="eastAsia"/>
                                <w:b/>
                                <w:sz w:val="28"/>
                                <w:lang w:val="en-US" w:eastAsia="zh-CN"/>
                              </w:rPr>
                              <w:t>system</w:t>
                            </w:r>
                            <w:r>
                              <w:rPr>
                                <w:rFonts w:hint="eastAsia"/>
                                <w:b/>
                                <w:sz w:val="28"/>
                              </w:rPr>
                              <w:t xml:space="preserve"> </w:t>
                            </w:r>
                            <w:r>
                              <w:rPr>
                                <w:rFonts w:hint="eastAsia"/>
                                <w:b/>
                                <w:sz w:val="28"/>
                                <w:lang w:val="en-US" w:eastAsia="zh-CN"/>
                              </w:rPr>
                              <w:t>host</w:t>
                            </w:r>
                            <w:r>
                              <w:rPr>
                                <w:rFonts w:hint="eastAsia"/>
                                <w:b/>
                                <w:sz w:val="28"/>
                              </w:rPr>
                              <w:t>ing capacity of distributed resources connected to network</w:t>
                            </w:r>
                          </w:p>
                          <w:p>
                            <w:pPr>
                              <w:jc w:val="center"/>
                              <w:rPr>
                                <w:rFonts w:hint="eastAsia" w:ascii="黑体" w:eastAsia="黑体"/>
                                <w:b/>
                                <w:sz w:val="28"/>
                              </w:rPr>
                            </w:pPr>
                          </w:p>
                          <w:p>
                            <w:pPr>
                              <w:jc w:val="center"/>
                              <w:rPr>
                                <w:rFonts w:ascii="宋体" w:hAnsi="宋体"/>
                                <w:sz w:val="28"/>
                              </w:rPr>
                            </w:pPr>
                            <w:r>
                              <w:rPr>
                                <w:rFonts w:ascii="宋体" w:hAnsi="宋体"/>
                                <w:sz w:val="28"/>
                              </w:rPr>
                              <w:t>（</w:t>
                            </w:r>
                            <w:r>
                              <w:rPr>
                                <w:rFonts w:hint="eastAsia" w:ascii="宋体" w:hAnsi="宋体"/>
                                <w:sz w:val="28"/>
                                <w:lang w:val="en-US" w:eastAsia="zh-CN"/>
                              </w:rPr>
                              <w:t>征求意见</w:t>
                            </w:r>
                            <w:r>
                              <w:rPr>
                                <w:rFonts w:hint="eastAsia" w:ascii="宋体" w:hAnsi="宋体"/>
                                <w:sz w:val="28"/>
                              </w:rPr>
                              <w:t>稿</w:t>
                            </w:r>
                            <w:r>
                              <w:rPr>
                                <w:rFonts w:ascii="宋体" w:hAnsi="宋体"/>
                                <w:sz w:val="28"/>
                              </w:rPr>
                              <w:t>）</w:t>
                            </w:r>
                          </w:p>
                          <w:p>
                            <w:pPr>
                              <w:jc w:val="center"/>
                            </w:pPr>
                          </w:p>
                        </w:txbxContent>
                      </wps:txbx>
                      <wps:bodyPr wrap="square" lIns="0" tIns="0" rIns="91440" bIns="45720" upright="1"/>
                    </wps:wsp>
                  </a:graphicData>
                </a:graphic>
              </wp:anchor>
            </w:drawing>
          </mc:Choice>
          <mc:Fallback>
            <w:pict>
              <v:shape id="文本框 1043" o:spid="_x0000_s1026" o:spt="202" type="#_x0000_t202" style="position:absolute;left:0pt;margin-left:0.05pt;margin-top:214.65pt;height:340.2pt;width:481.95pt;z-index:251662336;mso-width-relative:page;mso-height-relative:page;" fillcolor="#FFFFFF" filled="t" stroked="f" coordsize="21600,21600" o:gfxdata="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BYAAABk&#10;cnMvUEsBAhQAFAAAAAgAh07iQNhCx6fZAAAACQEAAA8AAAAAAAAAAQAgAAAAOAAAAGRycy9kb3du&#10;cmV2LnhtbFBLAQIUABQAAAAIAIdO4kA8R/cv6AEAALUDAAAOAAAAAAAAAAEAIAAAAD4BAABkcnMv&#10;ZTJvRG9jLnhtbFBLBQYAAAAABgAGAFkBAACYBQAAAAA=&#10;">
                <v:fill on="t" focussize="0,0"/>
                <v:stroke on="f"/>
                <v:imagedata o:title=""/>
                <o:lock v:ext="edit" aspectratio="f"/>
                <v:textbox inset="0mm,0mm,2.54mm,1.27mm">
                  <w:txbxContent>
                    <w:p>
                      <w:pPr>
                        <w:spacing w:line="600" w:lineRule="exact"/>
                        <w:jc w:val="center"/>
                        <w:rPr>
                          <w:rFonts w:hint="eastAsia" w:ascii="Times New Roman" w:hAnsi="Times New Roman" w:eastAsia="方正黑体_GBK" w:cs="Times New Roman"/>
                          <w:spacing w:val="-11"/>
                          <w:sz w:val="54"/>
                        </w:rPr>
                      </w:pPr>
                      <w:r>
                        <w:rPr>
                          <w:rFonts w:hint="eastAsia" w:eastAsia="方正黑体_GBK"/>
                          <w:spacing w:val="-11"/>
                          <w:sz w:val="54"/>
                        </w:rPr>
                        <w:t>分布式电源</w:t>
                      </w:r>
                      <w:r>
                        <w:rPr>
                          <w:rFonts w:hint="eastAsia" w:ascii="Times New Roman" w:hAnsi="Times New Roman" w:eastAsia="方正黑体_GBK" w:cs="Times New Roman"/>
                          <w:spacing w:val="-11"/>
                          <w:sz w:val="54"/>
                        </w:rPr>
                        <w:t>接入</w:t>
                      </w:r>
                      <w:r>
                        <w:rPr>
                          <w:rFonts w:hint="eastAsia" w:eastAsia="方正黑体_GBK" w:cs="Times New Roman"/>
                          <w:spacing w:val="-11"/>
                          <w:sz w:val="54"/>
                          <w:lang w:val="en-US" w:eastAsia="zh-CN"/>
                        </w:rPr>
                        <w:t>电力系统</w:t>
                      </w:r>
                      <w:r>
                        <w:rPr>
                          <w:rFonts w:hint="eastAsia" w:ascii="Times New Roman" w:hAnsi="Times New Roman" w:eastAsia="方正黑体_GBK" w:cs="Times New Roman"/>
                          <w:spacing w:val="-11"/>
                          <w:sz w:val="54"/>
                        </w:rPr>
                        <w:t>承载力评估导则</w:t>
                      </w:r>
                    </w:p>
                    <w:p>
                      <w:pPr>
                        <w:spacing w:before="260" w:line="280" w:lineRule="exact"/>
                        <w:jc w:val="center"/>
                        <w:rPr>
                          <w:rFonts w:hint="eastAsia" w:eastAsia="黑体"/>
                          <w:b/>
                          <w:sz w:val="18"/>
                        </w:rPr>
                      </w:pPr>
                    </w:p>
                    <w:p>
                      <w:pPr>
                        <w:jc w:val="center"/>
                        <w:rPr>
                          <w:rFonts w:hint="eastAsia"/>
                          <w:b/>
                          <w:sz w:val="28"/>
                        </w:rPr>
                      </w:pPr>
                      <w:r>
                        <w:rPr>
                          <w:rFonts w:hint="eastAsia"/>
                          <w:b/>
                          <w:sz w:val="28"/>
                          <w:lang w:val="en-US" w:eastAsia="zh-CN"/>
                        </w:rPr>
                        <w:t>G</w:t>
                      </w:r>
                      <w:r>
                        <w:rPr>
                          <w:rFonts w:hint="eastAsia"/>
                          <w:b/>
                          <w:sz w:val="28"/>
                        </w:rPr>
                        <w:t>uideline</w:t>
                      </w:r>
                      <w:r>
                        <w:rPr>
                          <w:rFonts w:hint="eastAsia"/>
                          <w:b/>
                          <w:sz w:val="28"/>
                          <w:lang w:val="en-US" w:eastAsia="zh-CN"/>
                        </w:rPr>
                        <w:t>s</w:t>
                      </w:r>
                      <w:r>
                        <w:rPr>
                          <w:rFonts w:hint="eastAsia"/>
                          <w:b/>
                          <w:sz w:val="28"/>
                        </w:rPr>
                        <w:t xml:space="preserve"> for evaluating power </w:t>
                      </w:r>
                      <w:r>
                        <w:rPr>
                          <w:rFonts w:hint="eastAsia"/>
                          <w:b/>
                          <w:sz w:val="28"/>
                          <w:lang w:val="en-US" w:eastAsia="zh-CN"/>
                        </w:rPr>
                        <w:t>system</w:t>
                      </w:r>
                      <w:r>
                        <w:rPr>
                          <w:rFonts w:hint="eastAsia"/>
                          <w:b/>
                          <w:sz w:val="28"/>
                        </w:rPr>
                        <w:t xml:space="preserve"> </w:t>
                      </w:r>
                      <w:r>
                        <w:rPr>
                          <w:rFonts w:hint="eastAsia"/>
                          <w:b/>
                          <w:sz w:val="28"/>
                          <w:lang w:val="en-US" w:eastAsia="zh-CN"/>
                        </w:rPr>
                        <w:t>host</w:t>
                      </w:r>
                      <w:r>
                        <w:rPr>
                          <w:rFonts w:hint="eastAsia"/>
                          <w:b/>
                          <w:sz w:val="28"/>
                        </w:rPr>
                        <w:t>ing capacity of distributed resources connected to network</w:t>
                      </w:r>
                    </w:p>
                    <w:p>
                      <w:pPr>
                        <w:jc w:val="center"/>
                        <w:rPr>
                          <w:rFonts w:hint="eastAsia" w:ascii="黑体" w:eastAsia="黑体"/>
                          <w:b/>
                          <w:sz w:val="28"/>
                        </w:rPr>
                      </w:pPr>
                    </w:p>
                    <w:p>
                      <w:pPr>
                        <w:jc w:val="center"/>
                        <w:rPr>
                          <w:rFonts w:ascii="宋体" w:hAnsi="宋体"/>
                          <w:sz w:val="28"/>
                        </w:rPr>
                      </w:pPr>
                      <w:r>
                        <w:rPr>
                          <w:rFonts w:ascii="宋体" w:hAnsi="宋体"/>
                          <w:sz w:val="28"/>
                        </w:rPr>
                        <w:t>（</w:t>
                      </w:r>
                      <w:r>
                        <w:rPr>
                          <w:rFonts w:hint="eastAsia" w:ascii="宋体" w:hAnsi="宋体"/>
                          <w:sz w:val="28"/>
                          <w:lang w:val="en-US" w:eastAsia="zh-CN"/>
                        </w:rPr>
                        <w:t>征求意见</w:t>
                      </w:r>
                      <w:r>
                        <w:rPr>
                          <w:rFonts w:hint="eastAsia" w:ascii="宋体" w:hAnsi="宋体"/>
                          <w:sz w:val="28"/>
                        </w:rPr>
                        <w:t>稿</w:t>
                      </w:r>
                      <w:r>
                        <w:rPr>
                          <w:rFonts w:ascii="宋体" w:hAnsi="宋体"/>
                          <w:sz w:val="28"/>
                        </w:rPr>
                        <w:t>）</w:t>
                      </w:r>
                    </w:p>
                    <w:p>
                      <w:pPr>
                        <w:jc w:val="center"/>
                      </w:pPr>
                    </w:p>
                  </w:txbxContent>
                </v:textbox>
              </v:shape>
            </w:pict>
          </mc:Fallback>
        </mc:AlternateContent>
      </w:r>
    </w:p>
    <w:p>
      <w:pPr>
        <w:pStyle w:val="120"/>
        <w:spacing w:line="360" w:lineRule="auto"/>
        <w:ind w:firstLine="420"/>
        <w:rPr>
          <w:rFonts w:hint="eastAsia"/>
        </w:rPr>
      </w:pPr>
      <w:r>
        <mc:AlternateContent>
          <mc:Choice Requires="wps">
            <w:drawing>
              <wp:anchor distT="0" distB="0" distL="114300" distR="114300" simplePos="0" relativeHeight="251661312" behindDoc="0" locked="0" layoutInCell="1" allowOverlap="1">
                <wp:simplePos x="0" y="0"/>
                <wp:positionH relativeFrom="column">
                  <wp:posOffset>-77470</wp:posOffset>
                </wp:positionH>
                <wp:positionV relativeFrom="paragraph">
                  <wp:posOffset>724535</wp:posOffset>
                </wp:positionV>
                <wp:extent cx="6349365" cy="635"/>
                <wp:effectExtent l="0" t="0" r="0" b="0"/>
                <wp:wrapNone/>
                <wp:docPr id="3" name="直线 1042"/>
                <wp:cNvGraphicFramePr/>
                <a:graphic xmlns:a="http://schemas.openxmlformats.org/drawingml/2006/main">
                  <a:graphicData uri="http://schemas.microsoft.com/office/word/2010/wordprocessingShape">
                    <wps:wsp>
                      <wps:cNvCnPr/>
                      <wps:spPr>
                        <a:xfrm>
                          <a:off x="0" y="0"/>
                          <a:ext cx="6349365" cy="635"/>
                        </a:xfrm>
                        <a:prstGeom prst="line">
                          <a:avLst/>
                        </a:prstGeom>
                        <a:ln w="9525" cap="flat" cmpd="sng">
                          <a:solidFill>
                            <a:srgbClr val="000000"/>
                          </a:solidFill>
                          <a:prstDash val="solid"/>
                          <a:headEnd type="none" w="med" len="med"/>
                          <a:tailEnd type="none" w="med" len="med"/>
                        </a:ln>
                      </wps:spPr>
                      <wps:bodyPr upright="1"/>
                    </wps:wsp>
                  </a:graphicData>
                </a:graphic>
              </wp:anchor>
            </w:drawing>
          </mc:Choice>
          <mc:Fallback>
            <w:pict>
              <v:line id="直线 1042" o:spid="_x0000_s1026" o:spt="20" style="position:absolute;left:0pt;margin-left:-6.1pt;margin-top:57.05pt;height:0.05pt;width:499.95pt;z-index:251661312;mso-width-relative:page;mso-height-relative:page;" filled="f" stroked="t" coordsize="21600,21600" o:gfxdata="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">
                <v:fill on="f" focussize="0,0"/>
                <v:stroke color="#000000" joinstyle="round"/>
                <v:imagedata o:title=""/>
                <o:lock v:ext="edit" aspectratio="f"/>
              </v:line>
            </w:pict>
          </mc:Fallback>
        </mc:AlternateContent>
      </w:r>
      <w:r>
        <mc:AlternateContent>
          <mc:Choice Requires="wps">
            <w:drawing>
              <wp:anchor distT="0" distB="0" distL="114300" distR="114300" simplePos="0" relativeHeight="251665408" behindDoc="0" locked="0" layoutInCell="1" allowOverlap="1">
                <wp:simplePos x="0" y="0"/>
                <wp:positionH relativeFrom="column">
                  <wp:posOffset>635</wp:posOffset>
                </wp:positionH>
                <wp:positionV relativeFrom="paragraph">
                  <wp:posOffset>7125970</wp:posOffset>
                </wp:positionV>
                <wp:extent cx="6120765" cy="360045"/>
                <wp:effectExtent l="0" t="0" r="13335" b="1905"/>
                <wp:wrapNone/>
                <wp:docPr id="7" name="文本框 1047"/>
                <wp:cNvGraphicFramePr/>
                <a:graphic xmlns:a="http://schemas.openxmlformats.org/drawingml/2006/main">
                  <a:graphicData uri="http://schemas.microsoft.com/office/word/2010/wordprocessingShape">
                    <wps:wsp>
                      <wps:cNvSpPr txBox="1"/>
                      <wps:spPr>
                        <a:xfrm>
                          <a:off x="0" y="0"/>
                          <a:ext cx="6120765" cy="360045"/>
                        </a:xfrm>
                        <a:prstGeom prst="rect">
                          <a:avLst/>
                        </a:prstGeom>
                        <a:solidFill>
                          <a:srgbClr val="FFFFFF"/>
                        </a:solidFill>
                        <a:ln>
                          <a:noFill/>
                        </a:ln>
                      </wps:spPr>
                      <wps:txbx>
                        <w:txbxContent>
                          <w:p>
                            <w:pPr>
                              <w:jc w:val="center"/>
                              <w:rPr>
                                <w:rFonts w:ascii="黑体" w:eastAsia="黑体"/>
                                <w:spacing w:val="20"/>
                                <w:w w:val="135"/>
                                <w:sz w:val="28"/>
                              </w:rPr>
                            </w:pPr>
                            <w:r>
                              <w:rPr>
                                <w:rFonts w:hint="eastAsia" w:ascii="黑体" w:eastAsia="黑体"/>
                                <w:spacing w:val="20"/>
                                <w:w w:val="135"/>
                                <w:sz w:val="30"/>
                              </w:rPr>
                              <w:t>国家能源局</w:t>
                            </w:r>
                            <w:r>
                              <w:rPr>
                                <w:rFonts w:hint="eastAsia" w:ascii="黑体" w:eastAsia="黑体"/>
                                <w:spacing w:val="20"/>
                                <w:w w:val="135"/>
                                <w:sz w:val="28"/>
                              </w:rPr>
                              <w:t xml:space="preserve">  发 布</w:t>
                            </w:r>
                          </w:p>
                        </w:txbxContent>
                      </wps:txbx>
                      <wps:bodyPr wrap="square" lIns="0" tIns="0" rIns="91440" bIns="45720" upright="1"/>
                    </wps:wsp>
                  </a:graphicData>
                </a:graphic>
              </wp:anchor>
            </w:drawing>
          </mc:Choice>
          <mc:Fallback>
            <w:pict>
              <v:shape id="文本框 1047" o:spid="_x0000_s1026" o:spt="202" type="#_x0000_t202" style="position:absolute;left:0pt;margin-left:0.05pt;margin-top:561.1pt;height:28.35pt;width:481.95pt;z-index:251665408;mso-width-relative:page;mso-height-relative:page;" fillcolor="#FFFFFF" filled="t" stroked="f" coordsize="21600,21600" o:gfxdata="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">
                <v:fill on="t" focussize="0,0"/>
                <v:stroke on="f"/>
                <v:imagedata o:title=""/>
                <o:lock v:ext="edit" aspectratio="f"/>
                <v:textbox inset="0mm,0mm,2.54mm,1.27mm">
                  <w:txbxContent>
                    <w:p>
                      <w:pPr>
                        <w:jc w:val="center"/>
                        <w:rPr>
                          <w:rFonts w:ascii="黑体" w:eastAsia="黑体"/>
                          <w:spacing w:val="20"/>
                          <w:w w:val="135"/>
                          <w:sz w:val="28"/>
                        </w:rPr>
                      </w:pPr>
                      <w:r>
                        <w:rPr>
                          <w:rFonts w:hint="eastAsia" w:ascii="黑体" w:eastAsia="黑体"/>
                          <w:spacing w:val="20"/>
                          <w:w w:val="135"/>
                          <w:sz w:val="30"/>
                        </w:rPr>
                        <w:t>国家能源局</w:t>
                      </w:r>
                      <w:r>
                        <w:rPr>
                          <w:rFonts w:hint="eastAsia" w:ascii="黑体" w:eastAsia="黑体"/>
                          <w:spacing w:val="20"/>
                          <w:w w:val="135"/>
                          <w:sz w:val="28"/>
                        </w:rPr>
                        <w:t xml:space="preserve">  发 布</w:t>
                      </w:r>
                    </w:p>
                  </w:txbxContent>
                </v:textbox>
              </v:shape>
            </w:pict>
          </mc:Fallback>
        </mc:AlternateContent>
      </w:r>
      <w:r>
        <mc:AlternateContent>
          <mc:Choice Requires="wps">
            <w:drawing>
              <wp:anchor distT="0" distB="0" distL="114300" distR="114300" simplePos="0" relativeHeight="251668480" behindDoc="0" locked="0" layoutInCell="1" allowOverlap="1">
                <wp:simplePos x="0" y="0"/>
                <wp:positionH relativeFrom="column">
                  <wp:posOffset>635</wp:posOffset>
                </wp:positionH>
                <wp:positionV relativeFrom="paragraph">
                  <wp:posOffset>6760210</wp:posOffset>
                </wp:positionV>
                <wp:extent cx="6027420" cy="27305"/>
                <wp:effectExtent l="0" t="4445" r="11430" b="6350"/>
                <wp:wrapNone/>
                <wp:docPr id="10" name="Line 11"/>
                <wp:cNvGraphicFramePr/>
                <a:graphic xmlns:a="http://schemas.openxmlformats.org/drawingml/2006/main">
                  <a:graphicData uri="http://schemas.microsoft.com/office/word/2010/wordprocessingShape">
                    <wps:wsp>
                      <wps:cNvCnPr>
                        <a:cxnSpLocks noChangeShapeType="1"/>
                      </wps:cNvCnPr>
                      <wps:spPr bwMode="auto">
                        <a:xfrm flipV="1">
                          <a:off x="0" y="0"/>
                          <a:ext cx="6027420" cy="27214"/>
                        </a:xfrm>
                        <a:prstGeom prst="line">
                          <a:avLst/>
                        </a:prstGeom>
                        <a:noFill/>
                        <a:ln w="9525">
                          <a:solidFill>
                            <a:srgbClr val="000000"/>
                          </a:solidFill>
                          <a:round/>
                        </a:ln>
                        <a:effectLst/>
                      </wps:spPr>
                      <wps:bodyPr/>
                    </wps:wsp>
                  </a:graphicData>
                </a:graphic>
              </wp:anchor>
            </w:drawing>
          </mc:Choice>
          <mc:Fallback>
            <w:pict>
              <v:line id="Line 11" o:spid="_x0000_s1026" o:spt="20" style="position:absolute;left:0pt;flip:y;margin-left:0.05pt;margin-top:532.3pt;height:2.15pt;width:474.6pt;z-index:251668480;mso-width-relative:page;mso-height-relative:page;" filled="f" stroked="t" coordsize="21600,21600" o:gfxdata="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">
                <v:fill on="f" focussize="0,0"/>
                <v:stroke color="#000000" joinstyle="round"/>
                <v:imagedata o:title=""/>
                <o:lock v:ext="edit" aspectratio="f"/>
              </v:line>
            </w:pict>
          </mc:Fallback>
        </mc:AlternateContent>
      </w:r>
      <w:r>
        <mc:AlternateContent>
          <mc:Choice Requires="wps">
            <w:drawing>
              <wp:anchor distT="0" distB="0" distL="114300" distR="114300" simplePos="0" relativeHeight="251663360" behindDoc="0" locked="0" layoutInCell="1" allowOverlap="1">
                <wp:simplePos x="0" y="0"/>
                <wp:positionH relativeFrom="column">
                  <wp:posOffset>-67310</wp:posOffset>
                </wp:positionH>
                <wp:positionV relativeFrom="paragraph">
                  <wp:posOffset>6506845</wp:posOffset>
                </wp:positionV>
                <wp:extent cx="2879725" cy="360045"/>
                <wp:effectExtent l="0" t="0" r="15875" b="1905"/>
                <wp:wrapNone/>
                <wp:docPr id="5" name="文本框 1044"/>
                <wp:cNvGraphicFramePr/>
                <a:graphic xmlns:a="http://schemas.openxmlformats.org/drawingml/2006/main">
                  <a:graphicData uri="http://schemas.microsoft.com/office/word/2010/wordprocessingShape">
                    <wps:wsp>
                      <wps:cNvSpPr txBox="1"/>
                      <wps:spPr>
                        <a:xfrm>
                          <a:off x="0" y="0"/>
                          <a:ext cx="2879725" cy="360045"/>
                        </a:xfrm>
                        <a:prstGeom prst="rect">
                          <a:avLst/>
                        </a:prstGeom>
                        <a:solidFill>
                          <a:srgbClr val="FFFFFF"/>
                        </a:solidFill>
                        <a:ln>
                          <a:noFill/>
                        </a:ln>
                      </wps:spPr>
                      <wps:txbx>
                        <w:txbxContent>
                          <w:p>
                            <w:pPr>
                              <w:rPr>
                                <w:rFonts w:ascii="黑体" w:eastAsia="黑体"/>
                                <w:sz w:val="28"/>
                              </w:rPr>
                            </w:pPr>
                            <w:r>
                              <w:rPr>
                                <w:rFonts w:hint="eastAsia" w:ascii="黑体" w:eastAsia="黑体"/>
                                <w:sz w:val="28"/>
                              </w:rPr>
                              <w:t>20</w:t>
                            </w:r>
                            <w:r>
                              <w:rPr>
                                <w:rFonts w:ascii="黑体" w:eastAsia="黑体"/>
                                <w:sz w:val="28"/>
                              </w:rPr>
                              <w:t>2</w:t>
                            </w:r>
                            <w:r>
                              <w:rPr>
                                <w:rFonts w:hint="eastAsia" w:ascii="黑体" w:eastAsia="黑体"/>
                                <w:sz w:val="28"/>
                              </w:rPr>
                              <w:t>X-XX-XX发布</w:t>
                            </w:r>
                          </w:p>
                        </w:txbxContent>
                      </wps:txbx>
                      <wps:bodyPr wrap="square" lIns="0" tIns="0" rIns="91440" bIns="45720" upright="1"/>
                    </wps:wsp>
                  </a:graphicData>
                </a:graphic>
              </wp:anchor>
            </w:drawing>
          </mc:Choice>
          <mc:Fallback>
            <w:pict>
              <v:shape id="文本框 1044" o:spid="_x0000_s1026" o:spt="202" type="#_x0000_t202" style="position:absolute;left:0pt;margin-left:-5.3pt;margin-top:512.35pt;height:28.35pt;width:226.75pt;z-index:251663360;mso-width-relative:page;mso-height-relative:page;" fillcolor="#FFFFFF" filled="t" stroked="f" coordsize="21600,21600" o:gfxdata="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">
                <v:fill on="t" focussize="0,0"/>
                <v:stroke on="f"/>
                <v:imagedata o:title=""/>
                <o:lock v:ext="edit" aspectratio="f"/>
                <v:textbox inset="0mm,0mm,2.54mm,1.27mm">
                  <w:txbxContent>
                    <w:p>
                      <w:pPr>
                        <w:rPr>
                          <w:rFonts w:ascii="黑体" w:eastAsia="黑体"/>
                          <w:sz w:val="28"/>
                        </w:rPr>
                      </w:pPr>
                      <w:r>
                        <w:rPr>
                          <w:rFonts w:hint="eastAsia" w:ascii="黑体" w:eastAsia="黑体"/>
                          <w:sz w:val="28"/>
                        </w:rPr>
                        <w:t>20</w:t>
                      </w:r>
                      <w:r>
                        <w:rPr>
                          <w:rFonts w:ascii="黑体" w:eastAsia="黑体"/>
                          <w:sz w:val="28"/>
                        </w:rPr>
                        <w:t>2</w:t>
                      </w:r>
                      <w:r>
                        <w:rPr>
                          <w:rFonts w:hint="eastAsia" w:ascii="黑体" w:eastAsia="黑体"/>
                          <w:sz w:val="28"/>
                        </w:rPr>
                        <w:t>X-XX-XX发布</w:t>
                      </w:r>
                    </w:p>
                  </w:txbxContent>
                </v:textbox>
              </v:shape>
            </w:pict>
          </mc:Fallback>
        </mc:AlternateContent>
      </w:r>
      <w:r>
        <mc:AlternateContent>
          <mc:Choice Requires="wps">
            <w:drawing>
              <wp:anchor distT="0" distB="0" distL="114300" distR="114300" simplePos="0" relativeHeight="251660288" behindDoc="0" locked="0" layoutInCell="1" allowOverlap="1">
                <wp:simplePos x="0" y="0"/>
                <wp:positionH relativeFrom="column">
                  <wp:posOffset>-548640</wp:posOffset>
                </wp:positionH>
                <wp:positionV relativeFrom="paragraph">
                  <wp:posOffset>311150</wp:posOffset>
                </wp:positionV>
                <wp:extent cx="6858000" cy="720090"/>
                <wp:effectExtent l="0" t="0" r="0" b="3810"/>
                <wp:wrapNone/>
                <wp:docPr id="2" name="文本框 1041"/>
                <wp:cNvGraphicFramePr/>
                <a:graphic xmlns:a="http://schemas.openxmlformats.org/drawingml/2006/main">
                  <a:graphicData uri="http://schemas.microsoft.com/office/word/2010/wordprocessingShape">
                    <wps:wsp>
                      <wps:cNvSpPr txBox="1"/>
                      <wps:spPr>
                        <a:xfrm>
                          <a:off x="0" y="0"/>
                          <a:ext cx="6858000" cy="720090"/>
                        </a:xfrm>
                        <a:prstGeom prst="rect">
                          <a:avLst/>
                        </a:prstGeom>
                        <a:solidFill>
                          <a:srgbClr val="FFFFFF"/>
                        </a:solidFill>
                        <a:ln>
                          <a:noFill/>
                        </a:ln>
                      </wps:spPr>
                      <wps:txbx>
                        <w:txbxContent>
                          <w:p>
                            <w:pPr>
                              <w:wordWrap w:val="0"/>
                              <w:ind w:right="-59" w:rightChars="-28"/>
                              <w:jc w:val="right"/>
                              <w:rPr>
                                <w:rFonts w:hint="default" w:ascii="黑体" w:eastAsia="黑体"/>
                                <w:sz w:val="28"/>
                                <w:lang w:val="en-US" w:eastAsia="zh-CN"/>
                              </w:rPr>
                            </w:pPr>
                            <w:r>
                              <w:rPr>
                                <w:rFonts w:hint="eastAsia" w:ascii="黑体" w:eastAsia="黑体"/>
                                <w:sz w:val="28"/>
                                <w:lang w:val="de-DE"/>
                              </w:rPr>
                              <w:t xml:space="preserve">                                                            </w:t>
                            </w:r>
                            <w:r>
                              <w:rPr>
                                <w:rFonts w:hint="eastAsia" w:ascii="黑体" w:eastAsia="黑体"/>
                                <w:sz w:val="28"/>
                                <w:lang w:val="en-US" w:eastAsia="zh-CN"/>
                              </w:rPr>
                              <w:t>DL</w:t>
                            </w:r>
                            <w:r>
                              <w:rPr>
                                <w:rFonts w:ascii="黑体" w:eastAsia="黑体"/>
                                <w:sz w:val="28"/>
                                <w:lang w:val="de-DE"/>
                              </w:rPr>
                              <w:t xml:space="preserve">/T </w:t>
                            </w:r>
                            <w:r>
                              <w:rPr>
                                <w:rFonts w:hint="eastAsia" w:ascii="黑体" w:eastAsia="黑体"/>
                                <w:sz w:val="28"/>
                                <w:lang w:val="en-US" w:eastAsia="zh-CN"/>
                              </w:rPr>
                              <w:t>2041</w:t>
                            </w:r>
                            <w:r>
                              <w:rPr>
                                <w:rFonts w:ascii="黑体" w:eastAsia="黑体"/>
                                <w:sz w:val="28"/>
                                <w:lang w:val="de-DE"/>
                              </w:rPr>
                              <w:t>—20</w:t>
                            </w:r>
                            <w:r>
                              <w:rPr>
                                <w:rFonts w:hint="eastAsia" w:ascii="黑体" w:eastAsia="黑体"/>
                                <w:sz w:val="28"/>
                                <w:lang w:val="en-US" w:eastAsia="zh-CN"/>
                              </w:rPr>
                              <w:t>25</w:t>
                            </w:r>
                          </w:p>
                          <w:p>
                            <w:pPr>
                              <w:tabs>
                                <w:tab w:val="left" w:pos="6090"/>
                              </w:tabs>
                              <w:wordWrap w:val="0"/>
                              <w:ind w:right="45"/>
                              <w:jc w:val="right"/>
                              <w:rPr>
                                <w:rFonts w:hint="default" w:ascii="宋体" w:hAnsi="宋体" w:eastAsia="宋体"/>
                                <w:lang w:val="en-US" w:eastAsia="zh-CN"/>
                              </w:rPr>
                            </w:pPr>
                            <w:r>
                              <w:rPr>
                                <w:rFonts w:hint="eastAsia" w:ascii="宋体" w:hAnsi="宋体"/>
                                <w:lang w:val="en-US" w:eastAsia="zh-CN"/>
                              </w:rPr>
                              <w:t>代替DL/T 2041—2019</w:t>
                            </w:r>
                          </w:p>
                        </w:txbxContent>
                      </wps:txbx>
                      <wps:bodyPr wrap="square" lIns="0" tIns="0" rIns="91440" bIns="45720" upright="1"/>
                    </wps:wsp>
                  </a:graphicData>
                </a:graphic>
              </wp:anchor>
            </w:drawing>
          </mc:Choice>
          <mc:Fallback>
            <w:pict>
              <v:shape id="文本框 1041" o:spid="_x0000_s1026" o:spt="202" type="#_x0000_t202" style="position:absolute;left:0pt;margin-left:-43.2pt;margin-top:24.5pt;height:56.7pt;width:540pt;z-index:251660288;mso-width-relative:page;mso-height-relative:page;" fillcolor="#FFFFFF" filled="t" stroked="f" coordsize="21600,21600" o:gfxdata="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FgAAAGRy&#10;cy9QSwECFAAUAAAACACHTuJAyFEhe9oAAAAKAQAADwAAAAAAAAABACAAAAA4AAAAZHJzL2Rvd25y&#10;ZXYueG1sUEsBAhQAFAAAAAgAh07iQNIcndLmAQAAtAMAAA4AAAAAAAAAAQAgAAAAPwEAAGRycy9l&#10;Mm9Eb2MueG1sUEsFBgAAAAAGAAYAWQEAAJcFAAAAAA==&#10;">
                <v:fill on="t" focussize="0,0"/>
                <v:stroke on="f"/>
                <v:imagedata o:title=""/>
                <o:lock v:ext="edit" aspectratio="f"/>
                <v:textbox inset="0mm,0mm,2.54mm,1.27mm">
                  <w:txbxContent>
                    <w:p>
                      <w:pPr>
                        <w:wordWrap w:val="0"/>
                        <w:ind w:right="-59" w:rightChars="-28"/>
                        <w:jc w:val="right"/>
                        <w:rPr>
                          <w:rFonts w:hint="default" w:ascii="黑体" w:eastAsia="黑体"/>
                          <w:sz w:val="28"/>
                          <w:lang w:val="en-US" w:eastAsia="zh-CN"/>
                        </w:rPr>
                      </w:pPr>
                      <w:r>
                        <w:rPr>
                          <w:rFonts w:hint="eastAsia" w:ascii="黑体" w:eastAsia="黑体"/>
                          <w:sz w:val="28"/>
                          <w:lang w:val="de-DE"/>
                        </w:rPr>
                        <w:t xml:space="preserve">                                                            </w:t>
                      </w:r>
                      <w:r>
                        <w:rPr>
                          <w:rFonts w:hint="eastAsia" w:ascii="黑体" w:eastAsia="黑体"/>
                          <w:sz w:val="28"/>
                          <w:lang w:val="en-US" w:eastAsia="zh-CN"/>
                        </w:rPr>
                        <w:t>DL</w:t>
                      </w:r>
                      <w:r>
                        <w:rPr>
                          <w:rFonts w:ascii="黑体" w:eastAsia="黑体"/>
                          <w:sz w:val="28"/>
                          <w:lang w:val="de-DE"/>
                        </w:rPr>
                        <w:t xml:space="preserve">/T </w:t>
                      </w:r>
                      <w:r>
                        <w:rPr>
                          <w:rFonts w:hint="eastAsia" w:ascii="黑体" w:eastAsia="黑体"/>
                          <w:sz w:val="28"/>
                          <w:lang w:val="en-US" w:eastAsia="zh-CN"/>
                        </w:rPr>
                        <w:t>2041</w:t>
                      </w:r>
                      <w:r>
                        <w:rPr>
                          <w:rFonts w:ascii="黑体" w:eastAsia="黑体"/>
                          <w:sz w:val="28"/>
                          <w:lang w:val="de-DE"/>
                        </w:rPr>
                        <w:t>—20</w:t>
                      </w:r>
                      <w:r>
                        <w:rPr>
                          <w:rFonts w:hint="eastAsia" w:ascii="黑体" w:eastAsia="黑体"/>
                          <w:sz w:val="28"/>
                          <w:lang w:val="en-US" w:eastAsia="zh-CN"/>
                        </w:rPr>
                        <w:t>25</w:t>
                      </w:r>
                    </w:p>
                    <w:p>
                      <w:pPr>
                        <w:tabs>
                          <w:tab w:val="left" w:pos="6090"/>
                        </w:tabs>
                        <w:wordWrap w:val="0"/>
                        <w:ind w:right="45"/>
                        <w:jc w:val="right"/>
                        <w:rPr>
                          <w:rFonts w:hint="default" w:ascii="宋体" w:hAnsi="宋体" w:eastAsia="宋体"/>
                          <w:lang w:val="en-US" w:eastAsia="zh-CN"/>
                        </w:rPr>
                      </w:pPr>
                      <w:r>
                        <w:rPr>
                          <w:rFonts w:hint="eastAsia" w:ascii="宋体" w:hAnsi="宋体"/>
                          <w:lang w:val="en-US" w:eastAsia="zh-CN"/>
                        </w:rPr>
                        <w:t>代替DL/T 2041—2019</w:t>
                      </w:r>
                    </w:p>
                  </w:txbxContent>
                </v:textbox>
              </v:shape>
            </w:pict>
          </mc:Fallback>
        </mc:AlternateContent>
      </w:r>
    </w:p>
    <w:p>
      <w:pPr>
        <w:pStyle w:val="120"/>
        <w:spacing w:line="360" w:lineRule="auto"/>
        <w:ind w:firstLine="199" w:firstLineChars="95"/>
        <w:rPr>
          <w:rFonts w:hint="eastAsia"/>
        </w:rPr>
        <w:sectPr>
          <w:headerReference r:id="rId5" w:type="first"/>
          <w:footerReference r:id="rId8" w:type="first"/>
          <w:headerReference r:id="rId3" w:type="default"/>
          <w:footerReference r:id="rId6" w:type="default"/>
          <w:headerReference r:id="rId4" w:type="even"/>
          <w:footerReference r:id="rId7" w:type="even"/>
          <w:pgSz w:w="11907" w:h="16839"/>
          <w:pgMar w:top="567" w:right="1134" w:bottom="1134" w:left="1417" w:header="283" w:footer="1134" w:gutter="0"/>
          <w:pgNumType w:fmt="upperRoman" w:start="1"/>
          <w:cols w:space="720" w:num="1"/>
          <w:titlePg/>
          <w:docGrid w:linePitch="312" w:charSpace="0"/>
        </w:sectPr>
      </w:pPr>
      <w:r>
        <mc:AlternateContent>
          <mc:Choice Requires="wps">
            <w:drawing>
              <wp:anchor distT="0" distB="0" distL="114300" distR="114300" simplePos="0" relativeHeight="251664384" behindDoc="0" locked="0" layoutInCell="1" allowOverlap="1">
                <wp:simplePos x="0" y="0"/>
                <wp:positionH relativeFrom="column">
                  <wp:posOffset>3291205</wp:posOffset>
                </wp:positionH>
                <wp:positionV relativeFrom="paragraph">
                  <wp:posOffset>6238240</wp:posOffset>
                </wp:positionV>
                <wp:extent cx="2880995" cy="360045"/>
                <wp:effectExtent l="0" t="0" r="14605" b="1905"/>
                <wp:wrapNone/>
                <wp:docPr id="6" name="文本框 1045"/>
                <wp:cNvGraphicFramePr/>
                <a:graphic xmlns:a="http://schemas.openxmlformats.org/drawingml/2006/main">
                  <a:graphicData uri="http://schemas.microsoft.com/office/word/2010/wordprocessingShape">
                    <wps:wsp>
                      <wps:cNvSpPr txBox="1"/>
                      <wps:spPr>
                        <a:xfrm>
                          <a:off x="0" y="0"/>
                          <a:ext cx="2880995" cy="360045"/>
                        </a:xfrm>
                        <a:prstGeom prst="rect">
                          <a:avLst/>
                        </a:prstGeom>
                        <a:solidFill>
                          <a:srgbClr val="FFFFFF"/>
                        </a:solidFill>
                        <a:ln>
                          <a:noFill/>
                        </a:ln>
                      </wps:spPr>
                      <wps:txbx>
                        <w:txbxContent>
                          <w:p>
                            <w:pPr>
                              <w:jc w:val="right"/>
                              <w:rPr>
                                <w:rFonts w:ascii="黑体" w:eastAsia="黑体"/>
                                <w:sz w:val="28"/>
                              </w:rPr>
                            </w:pPr>
                            <w:r>
                              <w:rPr>
                                <w:rFonts w:hint="eastAsia" w:ascii="黑体" w:eastAsia="黑体"/>
                                <w:sz w:val="28"/>
                              </w:rPr>
                              <w:t>20</w:t>
                            </w:r>
                            <w:r>
                              <w:rPr>
                                <w:rFonts w:ascii="黑体" w:eastAsia="黑体"/>
                                <w:sz w:val="28"/>
                              </w:rPr>
                              <w:t>2</w:t>
                            </w:r>
                            <w:r>
                              <w:rPr>
                                <w:rFonts w:hint="eastAsia" w:ascii="黑体" w:eastAsia="黑体"/>
                                <w:sz w:val="28"/>
                              </w:rPr>
                              <w:t>X-XX-XX实施</w:t>
                            </w:r>
                          </w:p>
                        </w:txbxContent>
                      </wps:txbx>
                      <wps:bodyPr wrap="square" lIns="0" tIns="0" rIns="91440" bIns="45720" upright="1"/>
                    </wps:wsp>
                  </a:graphicData>
                </a:graphic>
              </wp:anchor>
            </w:drawing>
          </mc:Choice>
          <mc:Fallback>
            <w:pict>
              <v:shape id="文本框 1045" o:spid="_x0000_s1026" o:spt="202" type="#_x0000_t202" style="position:absolute;left:0pt;margin-left:259.15pt;margin-top:491.2pt;height:28.35pt;width:226.85pt;z-index:251664384;mso-width-relative:page;mso-height-relative:page;" fillcolor="#FFFFFF" filled="t" stroked="f" coordsize="21600,21600" o:gfxdata="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">
                <v:fill on="t" focussize="0,0"/>
                <v:stroke on="f"/>
                <v:imagedata o:title=""/>
                <o:lock v:ext="edit" aspectratio="f"/>
                <v:textbox inset="0mm,0mm,2.54mm,1.27mm">
                  <w:txbxContent>
                    <w:p>
                      <w:pPr>
                        <w:jc w:val="right"/>
                        <w:rPr>
                          <w:rFonts w:ascii="黑体" w:eastAsia="黑体"/>
                          <w:sz w:val="28"/>
                        </w:rPr>
                      </w:pPr>
                      <w:r>
                        <w:rPr>
                          <w:rFonts w:hint="eastAsia" w:ascii="黑体" w:eastAsia="黑体"/>
                          <w:sz w:val="28"/>
                        </w:rPr>
                        <w:t>20</w:t>
                      </w:r>
                      <w:r>
                        <w:rPr>
                          <w:rFonts w:ascii="黑体" w:eastAsia="黑体"/>
                          <w:sz w:val="28"/>
                        </w:rPr>
                        <w:t>2</w:t>
                      </w:r>
                      <w:r>
                        <w:rPr>
                          <w:rFonts w:hint="eastAsia" w:ascii="黑体" w:eastAsia="黑体"/>
                          <w:sz w:val="28"/>
                        </w:rPr>
                        <w:t>X-XX-XX实施</w:t>
                      </w:r>
                    </w:p>
                  </w:txbxContent>
                </v:textbox>
              </v:shape>
            </w:pict>
          </mc:Fallback>
        </mc:AlternateContent>
      </w:r>
    </w:p>
    <w:bookmarkEnd w:id="0"/>
    <w:p>
      <w:pPr>
        <w:pStyle w:val="52"/>
        <w:tabs>
          <w:tab w:val="right" w:leader="dot" w:pos="9344"/>
        </w:tabs>
        <w:jc w:val="center"/>
        <w:rPr>
          <w:rFonts w:eastAsia="黑体"/>
          <w:sz w:val="32"/>
        </w:rPr>
      </w:pPr>
      <w:bookmarkStart w:id="32" w:name="标准附录"/>
      <w:bookmarkEnd w:id="32"/>
      <w:bookmarkStart w:id="33" w:name="标准目次"/>
      <w:bookmarkEnd w:id="33"/>
      <w:bookmarkStart w:id="34" w:name="标准前言"/>
      <w:bookmarkEnd w:id="34"/>
      <w:bookmarkStart w:id="35" w:name="标准内容"/>
      <w:bookmarkEnd w:id="35"/>
      <w:bookmarkStart w:id="36" w:name="_Toc178009441"/>
      <w:r>
        <w:rPr>
          <w:rFonts w:hint="eastAsia" w:eastAsia="黑体"/>
          <w:sz w:val="32"/>
        </w:rPr>
        <w:t>目</w:t>
      </w:r>
      <w:r>
        <w:rPr>
          <w:rFonts w:hint="eastAsia" w:eastAsia="黑体"/>
          <w:sz w:val="32"/>
          <w:lang w:val="en-US" w:eastAsia="zh-CN"/>
        </w:rPr>
        <w:t>　　</w:t>
      </w:r>
      <w:r>
        <w:rPr>
          <w:rFonts w:hint="eastAsia" w:eastAsia="黑体"/>
          <w:sz w:val="32"/>
        </w:rPr>
        <w:t>次</w:t>
      </w:r>
      <w:bookmarkEnd w:id="36"/>
    </w:p>
    <w:p>
      <w:pPr>
        <w:pStyle w:val="52"/>
        <w:tabs>
          <w:tab w:val="right" w:leader="dot" w:pos="9354"/>
        </w:tabs>
        <w:spacing w:before="0" w:after="0"/>
      </w:pP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TOC \o "1-1" \h \z \u </w:instrText>
      </w:r>
      <w:r>
        <w:rPr>
          <w:rFonts w:hint="eastAsia" w:asciiTheme="minorEastAsia" w:hAnsiTheme="minorEastAsia" w:eastAsiaTheme="minorEastAsia" w:cstheme="minorEastAsia"/>
          <w:szCs w:val="21"/>
        </w:rPr>
        <w:fldChar w:fldCharType="separate"/>
      </w: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HYPERLINK \l _Toc1016 </w:instrText>
      </w:r>
      <w:r>
        <w:rPr>
          <w:rFonts w:hint="eastAsia" w:asciiTheme="minorEastAsia" w:hAnsiTheme="minorEastAsia" w:eastAsiaTheme="minorEastAsia" w:cstheme="minorEastAsia"/>
          <w:szCs w:val="21"/>
        </w:rPr>
        <w:fldChar w:fldCharType="separate"/>
      </w:r>
      <w:r>
        <w:rPr>
          <w:rFonts w:hint="eastAsia" w:eastAsia="黑体"/>
        </w:rPr>
        <w:t>前言</w:t>
      </w:r>
      <w:r>
        <w:tab/>
      </w:r>
      <w:r>
        <w:fldChar w:fldCharType="begin"/>
      </w:r>
      <w:r>
        <w:instrText xml:space="preserve"> PAGEREF _Toc1016 \h </w:instrText>
      </w:r>
      <w:r>
        <w:fldChar w:fldCharType="separate"/>
      </w:r>
      <w:r>
        <w:t>II</w:t>
      </w:r>
      <w:r>
        <w:fldChar w:fldCharType="end"/>
      </w:r>
      <w:r>
        <w:rPr>
          <w:rFonts w:hint="eastAsia" w:asciiTheme="minorEastAsia" w:hAnsiTheme="minorEastAsia" w:eastAsiaTheme="minorEastAsia" w:cstheme="minorEastAsia"/>
          <w:szCs w:val="21"/>
        </w:rPr>
        <w:fldChar w:fldCharType="end"/>
      </w:r>
    </w:p>
    <w:p>
      <w:pPr>
        <w:pStyle w:val="52"/>
        <w:tabs>
          <w:tab w:val="right" w:leader="dot" w:pos="9354"/>
        </w:tabs>
        <w:spacing w:before="0" w:after="0"/>
      </w:pP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HYPERLINK \l _Toc27181 </w:instrText>
      </w:r>
      <w:r>
        <w:rPr>
          <w:rFonts w:hint="eastAsia" w:asciiTheme="minorEastAsia" w:hAnsiTheme="minorEastAsia" w:eastAsiaTheme="minorEastAsia" w:cstheme="minorEastAsia"/>
          <w:szCs w:val="21"/>
        </w:rPr>
        <w:fldChar w:fldCharType="separate"/>
      </w:r>
      <w:r>
        <w:rPr>
          <w:rFonts w:hint="default"/>
          <w:i w:val="0"/>
          <w:szCs w:val="21"/>
        </w:rPr>
        <w:t>1</w:t>
      </w:r>
      <w:r>
        <w:rPr>
          <w:rFonts w:hint="eastAsia"/>
          <w:i w:val="0"/>
          <w:szCs w:val="21"/>
          <w:lang w:eastAsia="zh-CN"/>
        </w:rPr>
        <w:t>　</w:t>
      </w:r>
      <w:r>
        <w:rPr>
          <w:rFonts w:hint="eastAsia"/>
        </w:rPr>
        <w:t>范围</w:t>
      </w:r>
      <w:r>
        <w:tab/>
      </w:r>
      <w:r>
        <w:fldChar w:fldCharType="begin"/>
      </w:r>
      <w:r>
        <w:instrText xml:space="preserve"> PAGEREF _Toc27181 \h </w:instrText>
      </w:r>
      <w:r>
        <w:fldChar w:fldCharType="separate"/>
      </w:r>
      <w:r>
        <w:t>1</w:t>
      </w:r>
      <w:r>
        <w:fldChar w:fldCharType="end"/>
      </w:r>
      <w:r>
        <w:rPr>
          <w:rFonts w:hint="eastAsia" w:asciiTheme="minorEastAsia" w:hAnsiTheme="minorEastAsia" w:eastAsiaTheme="minorEastAsia" w:cstheme="minorEastAsia"/>
          <w:szCs w:val="21"/>
        </w:rPr>
        <w:fldChar w:fldCharType="end"/>
      </w:r>
    </w:p>
    <w:p>
      <w:pPr>
        <w:pStyle w:val="52"/>
        <w:tabs>
          <w:tab w:val="right" w:leader="dot" w:pos="9354"/>
        </w:tabs>
        <w:spacing w:before="0" w:after="0"/>
      </w:pP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HYPERLINK \l _Toc24653 </w:instrText>
      </w:r>
      <w:r>
        <w:rPr>
          <w:rFonts w:hint="eastAsia" w:asciiTheme="minorEastAsia" w:hAnsiTheme="minorEastAsia" w:eastAsiaTheme="minorEastAsia" w:cstheme="minorEastAsia"/>
          <w:szCs w:val="21"/>
        </w:rPr>
        <w:fldChar w:fldCharType="separate"/>
      </w:r>
      <w:r>
        <w:rPr>
          <w:rFonts w:hint="default"/>
          <w:i w:val="0"/>
          <w:szCs w:val="21"/>
        </w:rPr>
        <w:t>2</w:t>
      </w:r>
      <w:r>
        <w:rPr>
          <w:rFonts w:hint="eastAsia"/>
          <w:i w:val="0"/>
          <w:szCs w:val="21"/>
          <w:lang w:eastAsia="zh-CN"/>
        </w:rPr>
        <w:t>　</w:t>
      </w:r>
      <w:r>
        <w:rPr>
          <w:rFonts w:hint="eastAsia"/>
        </w:rPr>
        <w:t>规范性引用文件</w:t>
      </w:r>
      <w:r>
        <w:tab/>
      </w:r>
      <w:r>
        <w:fldChar w:fldCharType="begin"/>
      </w:r>
      <w:r>
        <w:instrText xml:space="preserve"> PAGEREF _Toc24653 \h </w:instrText>
      </w:r>
      <w:r>
        <w:fldChar w:fldCharType="separate"/>
      </w:r>
      <w:r>
        <w:t>1</w:t>
      </w:r>
      <w:r>
        <w:fldChar w:fldCharType="end"/>
      </w:r>
      <w:r>
        <w:rPr>
          <w:rFonts w:hint="eastAsia" w:asciiTheme="minorEastAsia" w:hAnsiTheme="minorEastAsia" w:eastAsiaTheme="minorEastAsia" w:cstheme="minorEastAsia"/>
          <w:szCs w:val="21"/>
        </w:rPr>
        <w:fldChar w:fldCharType="end"/>
      </w:r>
    </w:p>
    <w:p>
      <w:pPr>
        <w:pStyle w:val="52"/>
        <w:tabs>
          <w:tab w:val="right" w:leader="dot" w:pos="9354"/>
        </w:tabs>
        <w:spacing w:before="0" w:after="0"/>
      </w:pP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HYPERLINK \l _Toc9631 </w:instrText>
      </w:r>
      <w:r>
        <w:rPr>
          <w:rFonts w:hint="eastAsia" w:asciiTheme="minorEastAsia" w:hAnsiTheme="minorEastAsia" w:eastAsiaTheme="minorEastAsia" w:cstheme="minorEastAsia"/>
          <w:szCs w:val="21"/>
        </w:rPr>
        <w:fldChar w:fldCharType="separate"/>
      </w:r>
      <w:r>
        <w:rPr>
          <w:rFonts w:hint="default"/>
          <w:i w:val="0"/>
          <w:szCs w:val="21"/>
        </w:rPr>
        <w:t>3</w:t>
      </w:r>
      <w:r>
        <w:rPr>
          <w:rFonts w:hint="eastAsia"/>
          <w:i w:val="0"/>
          <w:szCs w:val="21"/>
          <w:lang w:eastAsia="zh-CN"/>
        </w:rPr>
        <w:t>　</w:t>
      </w:r>
      <w:r>
        <w:rPr>
          <w:rFonts w:hint="eastAsia"/>
        </w:rPr>
        <w:t>术语和定义</w:t>
      </w:r>
      <w:r>
        <w:tab/>
      </w:r>
      <w:r>
        <w:fldChar w:fldCharType="begin"/>
      </w:r>
      <w:r>
        <w:instrText xml:space="preserve"> PAGEREF _Toc9631 \h </w:instrText>
      </w:r>
      <w:r>
        <w:fldChar w:fldCharType="separate"/>
      </w:r>
      <w:r>
        <w:t>1</w:t>
      </w:r>
      <w:r>
        <w:fldChar w:fldCharType="end"/>
      </w:r>
      <w:r>
        <w:rPr>
          <w:rFonts w:hint="eastAsia" w:asciiTheme="minorEastAsia" w:hAnsiTheme="minorEastAsia" w:eastAsiaTheme="minorEastAsia" w:cstheme="minorEastAsia"/>
          <w:szCs w:val="21"/>
        </w:rPr>
        <w:fldChar w:fldCharType="end"/>
      </w:r>
    </w:p>
    <w:p>
      <w:pPr>
        <w:pStyle w:val="52"/>
        <w:tabs>
          <w:tab w:val="right" w:leader="dot" w:pos="9354"/>
        </w:tabs>
        <w:spacing w:before="0" w:after="0"/>
      </w:pP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HYPERLINK \l _Toc14536 </w:instrText>
      </w:r>
      <w:r>
        <w:rPr>
          <w:rFonts w:hint="eastAsia" w:asciiTheme="minorEastAsia" w:hAnsiTheme="minorEastAsia" w:eastAsiaTheme="minorEastAsia" w:cstheme="minorEastAsia"/>
          <w:szCs w:val="21"/>
        </w:rPr>
        <w:fldChar w:fldCharType="separate"/>
      </w:r>
      <w:r>
        <w:rPr>
          <w:rFonts w:hint="default"/>
          <w:i w:val="0"/>
          <w:szCs w:val="21"/>
        </w:rPr>
        <w:t>4</w:t>
      </w:r>
      <w:r>
        <w:rPr>
          <w:rFonts w:hint="eastAsia"/>
          <w:i w:val="0"/>
          <w:szCs w:val="21"/>
          <w:lang w:eastAsia="zh-CN"/>
        </w:rPr>
        <w:t>　</w:t>
      </w:r>
      <w:r>
        <w:rPr>
          <w:rFonts w:hint="eastAsia"/>
        </w:rPr>
        <w:t>总体要求</w:t>
      </w:r>
      <w:r>
        <w:tab/>
      </w:r>
      <w:r>
        <w:fldChar w:fldCharType="begin"/>
      </w:r>
      <w:r>
        <w:instrText xml:space="preserve"> PAGEREF _Toc14536 \h </w:instrText>
      </w:r>
      <w:r>
        <w:fldChar w:fldCharType="separate"/>
      </w:r>
      <w:r>
        <w:t>2</w:t>
      </w:r>
      <w:r>
        <w:fldChar w:fldCharType="end"/>
      </w:r>
      <w:r>
        <w:rPr>
          <w:rFonts w:hint="eastAsia" w:asciiTheme="minorEastAsia" w:hAnsiTheme="minorEastAsia" w:eastAsiaTheme="minorEastAsia" w:cstheme="minorEastAsia"/>
          <w:szCs w:val="21"/>
        </w:rPr>
        <w:fldChar w:fldCharType="end"/>
      </w:r>
    </w:p>
    <w:p>
      <w:pPr>
        <w:pStyle w:val="52"/>
        <w:tabs>
          <w:tab w:val="right" w:leader="dot" w:pos="9354"/>
        </w:tabs>
        <w:spacing w:before="0" w:after="0"/>
      </w:pP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HYPERLINK \l _Toc1892 </w:instrText>
      </w:r>
      <w:r>
        <w:rPr>
          <w:rFonts w:hint="eastAsia" w:asciiTheme="minorEastAsia" w:hAnsiTheme="minorEastAsia" w:eastAsiaTheme="minorEastAsia" w:cstheme="minorEastAsia"/>
          <w:szCs w:val="21"/>
        </w:rPr>
        <w:fldChar w:fldCharType="separate"/>
      </w:r>
      <w:r>
        <w:rPr>
          <w:rFonts w:hint="default"/>
          <w:i w:val="0"/>
          <w:szCs w:val="21"/>
        </w:rPr>
        <w:t>5</w:t>
      </w:r>
      <w:r>
        <w:rPr>
          <w:rFonts w:hint="eastAsia"/>
          <w:i w:val="0"/>
          <w:szCs w:val="21"/>
          <w:lang w:eastAsia="zh-CN"/>
        </w:rPr>
        <w:t>　</w:t>
      </w:r>
      <w:r>
        <w:rPr>
          <w:rFonts w:hint="eastAsia"/>
          <w:lang w:val="en-US" w:eastAsia="zh-CN"/>
        </w:rPr>
        <w:t>系统级承载力计算</w:t>
      </w:r>
      <w:r>
        <w:tab/>
      </w:r>
      <w:r>
        <w:fldChar w:fldCharType="begin"/>
      </w:r>
      <w:r>
        <w:instrText xml:space="preserve"> PAGEREF _Toc1892 \h </w:instrText>
      </w:r>
      <w:r>
        <w:fldChar w:fldCharType="separate"/>
      </w:r>
      <w:r>
        <w:t>2</w:t>
      </w:r>
      <w:r>
        <w:fldChar w:fldCharType="end"/>
      </w:r>
      <w:r>
        <w:rPr>
          <w:rFonts w:hint="eastAsia" w:asciiTheme="minorEastAsia" w:hAnsiTheme="minorEastAsia" w:eastAsiaTheme="minorEastAsia" w:cstheme="minorEastAsia"/>
          <w:szCs w:val="21"/>
        </w:rPr>
        <w:fldChar w:fldCharType="end"/>
      </w:r>
    </w:p>
    <w:p>
      <w:pPr>
        <w:pStyle w:val="52"/>
        <w:tabs>
          <w:tab w:val="right" w:leader="dot" w:pos="9354"/>
        </w:tabs>
        <w:spacing w:before="0" w:after="0"/>
      </w:pP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HYPERLINK \l _Toc12025 </w:instrText>
      </w:r>
      <w:r>
        <w:rPr>
          <w:rFonts w:hint="eastAsia" w:asciiTheme="minorEastAsia" w:hAnsiTheme="minorEastAsia" w:eastAsiaTheme="minorEastAsia" w:cstheme="minorEastAsia"/>
          <w:szCs w:val="21"/>
        </w:rPr>
        <w:fldChar w:fldCharType="separate"/>
      </w:r>
      <w:r>
        <w:rPr>
          <w:rFonts w:hint="default" w:hAnsi="Times New Roman" w:cs="Times New Roman"/>
          <w:i w:val="0"/>
          <w:szCs w:val="21"/>
        </w:rPr>
        <w:t>6</w:t>
      </w:r>
      <w:r>
        <w:rPr>
          <w:rFonts w:hint="eastAsia" w:cs="Times New Roman"/>
          <w:i w:val="0"/>
          <w:szCs w:val="21"/>
          <w:lang w:eastAsia="zh-CN"/>
        </w:rPr>
        <w:t>　</w:t>
      </w:r>
      <w:r>
        <w:rPr>
          <w:rFonts w:hint="eastAsia" w:hAnsi="Times New Roman" w:cs="Times New Roman"/>
          <w:lang w:val="en-US" w:eastAsia="zh-CN"/>
        </w:rPr>
        <w:t>设备级承载力计算</w:t>
      </w:r>
      <w:r>
        <w:tab/>
      </w:r>
      <w:r>
        <w:fldChar w:fldCharType="begin"/>
      </w:r>
      <w:r>
        <w:instrText xml:space="preserve"> PAGEREF _Toc12025 \h </w:instrText>
      </w:r>
      <w:r>
        <w:fldChar w:fldCharType="separate"/>
      </w:r>
      <w:r>
        <w:t>3</w:t>
      </w:r>
      <w:r>
        <w:fldChar w:fldCharType="end"/>
      </w:r>
      <w:r>
        <w:rPr>
          <w:rFonts w:hint="eastAsia" w:asciiTheme="minorEastAsia" w:hAnsiTheme="minorEastAsia" w:eastAsiaTheme="minorEastAsia" w:cstheme="minorEastAsia"/>
          <w:szCs w:val="21"/>
        </w:rPr>
        <w:fldChar w:fldCharType="end"/>
      </w:r>
    </w:p>
    <w:p>
      <w:pPr>
        <w:pStyle w:val="52"/>
        <w:tabs>
          <w:tab w:val="right" w:leader="dot" w:pos="9354"/>
        </w:tabs>
        <w:spacing w:before="0" w:after="0"/>
      </w:pP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HYPERLINK \l _Toc15083 </w:instrText>
      </w:r>
      <w:r>
        <w:rPr>
          <w:rFonts w:hint="eastAsia" w:asciiTheme="minorEastAsia" w:hAnsiTheme="minorEastAsia" w:eastAsiaTheme="minorEastAsia" w:cstheme="minorEastAsia"/>
          <w:szCs w:val="21"/>
        </w:rPr>
        <w:fldChar w:fldCharType="separate"/>
      </w:r>
      <w:r>
        <w:rPr>
          <w:rFonts w:hint="default" w:hAnsi="Times New Roman" w:cs="Times New Roman"/>
          <w:i w:val="0"/>
          <w:szCs w:val="21"/>
          <w:lang w:val="en-US" w:eastAsia="zh-CN"/>
        </w:rPr>
        <w:t>7</w:t>
      </w:r>
      <w:r>
        <w:rPr>
          <w:rFonts w:hint="eastAsia" w:cs="Times New Roman"/>
          <w:i w:val="0"/>
          <w:szCs w:val="21"/>
          <w:lang w:val="en-US" w:eastAsia="zh-CN"/>
        </w:rPr>
        <w:t>　</w:t>
      </w:r>
      <w:r>
        <w:rPr>
          <w:rFonts w:hint="eastAsia" w:hAnsi="Times New Roman" w:cs="Times New Roman"/>
          <w:lang w:val="en-US" w:eastAsia="zh-CN"/>
        </w:rPr>
        <w:t>承载力计算结果校核</w:t>
      </w:r>
      <w:r>
        <w:tab/>
      </w:r>
      <w:r>
        <w:fldChar w:fldCharType="begin"/>
      </w:r>
      <w:r>
        <w:instrText xml:space="preserve"> PAGEREF _Toc15083 \h </w:instrText>
      </w:r>
      <w:r>
        <w:fldChar w:fldCharType="separate"/>
      </w:r>
      <w:r>
        <w:t>4</w:t>
      </w:r>
      <w:r>
        <w:fldChar w:fldCharType="end"/>
      </w:r>
      <w:r>
        <w:rPr>
          <w:rFonts w:hint="eastAsia" w:asciiTheme="minorEastAsia" w:hAnsiTheme="minorEastAsia" w:eastAsiaTheme="minorEastAsia" w:cstheme="minorEastAsia"/>
          <w:szCs w:val="21"/>
        </w:rPr>
        <w:fldChar w:fldCharType="end"/>
      </w:r>
    </w:p>
    <w:p>
      <w:pPr>
        <w:pStyle w:val="52"/>
        <w:tabs>
          <w:tab w:val="right" w:leader="dot" w:pos="9354"/>
        </w:tabs>
        <w:spacing w:before="0" w:after="0"/>
      </w:pP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HYPERLINK \l _Toc6196 </w:instrText>
      </w:r>
      <w:r>
        <w:rPr>
          <w:rFonts w:hint="eastAsia" w:asciiTheme="minorEastAsia" w:hAnsiTheme="minorEastAsia" w:eastAsiaTheme="minorEastAsia" w:cstheme="minorEastAsia"/>
          <w:szCs w:val="21"/>
        </w:rPr>
        <w:fldChar w:fldCharType="separate"/>
      </w:r>
      <w:r>
        <w:rPr>
          <w:rFonts w:hint="default" w:hAnsi="Times New Roman" w:cs="Times New Roman"/>
          <w:i w:val="0"/>
          <w:szCs w:val="21"/>
          <w:lang w:val="en-US" w:eastAsia="zh-CN"/>
        </w:rPr>
        <w:t>8</w:t>
      </w:r>
      <w:r>
        <w:rPr>
          <w:rFonts w:hint="eastAsia" w:cs="Times New Roman"/>
          <w:i w:val="0"/>
          <w:szCs w:val="21"/>
          <w:lang w:val="en-US" w:eastAsia="zh-CN"/>
        </w:rPr>
        <w:t>　</w:t>
      </w:r>
      <w:r>
        <w:rPr>
          <w:rFonts w:hint="eastAsia" w:hAnsi="Times New Roman" w:cs="Times New Roman"/>
          <w:lang w:val="en-US" w:eastAsia="zh-CN"/>
        </w:rPr>
        <w:t>可开放容量评估及等级划分</w:t>
      </w:r>
      <w:r>
        <w:tab/>
      </w:r>
      <w:r>
        <w:fldChar w:fldCharType="begin"/>
      </w:r>
      <w:r>
        <w:instrText xml:space="preserve"> PAGEREF _Toc6196 \h </w:instrText>
      </w:r>
      <w:r>
        <w:fldChar w:fldCharType="separate"/>
      </w:r>
      <w:r>
        <w:t>4</w:t>
      </w:r>
      <w:r>
        <w:fldChar w:fldCharType="end"/>
      </w:r>
      <w:r>
        <w:rPr>
          <w:rFonts w:hint="eastAsia" w:asciiTheme="minorEastAsia" w:hAnsiTheme="minorEastAsia" w:eastAsiaTheme="minorEastAsia" w:cstheme="minorEastAsia"/>
          <w:szCs w:val="21"/>
        </w:rPr>
        <w:fldChar w:fldCharType="end"/>
      </w:r>
    </w:p>
    <w:p>
      <w:pPr>
        <w:pStyle w:val="52"/>
        <w:tabs>
          <w:tab w:val="right" w:leader="dot" w:pos="9354"/>
        </w:tabs>
        <w:spacing w:before="0" w:after="0"/>
      </w:pP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HYPERLINK \l _Toc8557 </w:instrText>
      </w:r>
      <w:r>
        <w:rPr>
          <w:rFonts w:hint="eastAsia" w:asciiTheme="minorEastAsia" w:hAnsiTheme="minorEastAsia" w:eastAsiaTheme="minorEastAsia" w:cstheme="minorEastAsia"/>
          <w:szCs w:val="21"/>
        </w:rPr>
        <w:fldChar w:fldCharType="separate"/>
      </w:r>
      <w:r>
        <w:rPr>
          <w:rFonts w:hint="default" w:hAnsi="Times New Roman" w:cs="Times New Roman"/>
          <w:i w:val="0"/>
          <w:szCs w:val="21"/>
          <w:lang w:val="en-US" w:eastAsia="zh-CN"/>
        </w:rPr>
        <w:t>9</w:t>
      </w:r>
      <w:r>
        <w:rPr>
          <w:rFonts w:hint="eastAsia" w:cs="Times New Roman"/>
          <w:i w:val="0"/>
          <w:szCs w:val="21"/>
          <w:lang w:val="en-US" w:eastAsia="zh-CN"/>
        </w:rPr>
        <w:t>　</w:t>
      </w:r>
      <w:r>
        <w:rPr>
          <w:rFonts w:hint="eastAsia" w:hAnsi="Times New Roman" w:cs="Times New Roman"/>
          <w:lang w:val="en-US" w:eastAsia="zh-CN"/>
        </w:rPr>
        <w:t>承载力提升措施</w:t>
      </w:r>
      <w:r>
        <w:tab/>
      </w:r>
      <w:r>
        <w:fldChar w:fldCharType="begin"/>
      </w:r>
      <w:r>
        <w:instrText xml:space="preserve"> PAGEREF _Toc8557 \h </w:instrText>
      </w:r>
      <w:r>
        <w:fldChar w:fldCharType="separate"/>
      </w:r>
      <w:r>
        <w:t>6</w:t>
      </w:r>
      <w:r>
        <w:fldChar w:fldCharType="end"/>
      </w:r>
      <w:r>
        <w:rPr>
          <w:rFonts w:hint="eastAsia" w:asciiTheme="minorEastAsia" w:hAnsiTheme="minorEastAsia" w:eastAsiaTheme="minorEastAsia" w:cstheme="minorEastAsia"/>
          <w:szCs w:val="21"/>
        </w:rPr>
        <w:fldChar w:fldCharType="end"/>
      </w:r>
    </w:p>
    <w:p>
      <w:pPr>
        <w:pStyle w:val="52"/>
        <w:tabs>
          <w:tab w:val="right" w:leader="dot" w:pos="9354"/>
        </w:tabs>
        <w:spacing w:before="0" w:after="0"/>
      </w:pP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HYPERLINK \l _Toc30005 </w:instrText>
      </w:r>
      <w:r>
        <w:rPr>
          <w:rFonts w:hint="eastAsia" w:asciiTheme="minorEastAsia" w:hAnsiTheme="minorEastAsia" w:eastAsiaTheme="minorEastAsia" w:cstheme="minorEastAsia"/>
          <w:szCs w:val="21"/>
        </w:rPr>
        <w:fldChar w:fldCharType="separate"/>
      </w:r>
      <w:r>
        <w:rPr>
          <w:rFonts w:hint="eastAsia" w:hAnsi="黑体"/>
          <w:szCs w:val="21"/>
          <w:lang w:eastAsia="zh-CN"/>
        </w:rPr>
        <w:t>附录A</w:t>
      </w:r>
      <w:r>
        <w:rPr>
          <w:rFonts w:hint="eastAsia" w:asciiTheme="minorEastAsia" w:hAnsiTheme="minorEastAsia" w:eastAsiaTheme="minorEastAsia" w:cstheme="minorEastAsia"/>
          <w:szCs w:val="21"/>
        </w:rPr>
        <w:fldChar w:fldCharType="end"/>
      </w: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HYPERLINK \l _Toc29560 </w:instrText>
      </w:r>
      <w:r>
        <w:rPr>
          <w:rFonts w:hint="eastAsia" w:asciiTheme="minorEastAsia" w:hAnsiTheme="minorEastAsia" w:eastAsiaTheme="minorEastAsia" w:cstheme="minorEastAsia"/>
          <w:szCs w:val="21"/>
        </w:rPr>
        <w:fldChar w:fldCharType="separate"/>
      </w:r>
      <w:r>
        <w:rPr>
          <w:rFonts w:hint="eastAsia"/>
          <w:lang w:eastAsia="zh-CN"/>
        </w:rPr>
        <w:t>（资料性）　</w:t>
      </w:r>
      <w:r>
        <w:rPr>
          <w:rFonts w:hint="eastAsia"/>
          <w:lang w:val="en-US" w:eastAsia="zh-CN"/>
        </w:rPr>
        <w:t>分布式电源接入电力系统承载力评估流程</w:t>
      </w:r>
      <w:r>
        <w:tab/>
      </w:r>
      <w:r>
        <w:fldChar w:fldCharType="begin"/>
      </w:r>
      <w:r>
        <w:instrText xml:space="preserve"> PAGEREF _Toc29560 \h </w:instrText>
      </w:r>
      <w:r>
        <w:fldChar w:fldCharType="separate"/>
      </w:r>
      <w:r>
        <w:t>7</w:t>
      </w:r>
      <w:r>
        <w:fldChar w:fldCharType="end"/>
      </w:r>
      <w:r>
        <w:rPr>
          <w:rFonts w:hint="eastAsia" w:asciiTheme="minorEastAsia" w:hAnsiTheme="minorEastAsia" w:eastAsiaTheme="minorEastAsia" w:cstheme="minorEastAsia"/>
          <w:szCs w:val="21"/>
        </w:rPr>
        <w:fldChar w:fldCharType="end"/>
      </w:r>
    </w:p>
    <w:p>
      <w:pPr>
        <w:pStyle w:val="52"/>
        <w:tabs>
          <w:tab w:val="right" w:leader="dot" w:pos="9354"/>
        </w:tabs>
        <w:spacing w:before="0" w:after="0"/>
      </w:pP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HYPERLINK \l _Toc29705 </w:instrText>
      </w:r>
      <w:r>
        <w:rPr>
          <w:rFonts w:hint="eastAsia" w:asciiTheme="minorEastAsia" w:hAnsiTheme="minorEastAsia" w:eastAsiaTheme="minorEastAsia" w:cstheme="minorEastAsia"/>
          <w:szCs w:val="21"/>
        </w:rPr>
        <w:fldChar w:fldCharType="separate"/>
      </w:r>
      <w:r>
        <w:rPr>
          <w:rFonts w:hint="eastAsia" w:hAnsi="黑体"/>
          <w:szCs w:val="21"/>
          <w:lang w:eastAsia="zh-CN"/>
        </w:rPr>
        <w:t>附录B</w:t>
      </w:r>
      <w:r>
        <w:rPr>
          <w:rFonts w:hint="eastAsia" w:asciiTheme="minorEastAsia" w:hAnsiTheme="minorEastAsia" w:eastAsiaTheme="minorEastAsia" w:cstheme="minorEastAsia"/>
          <w:szCs w:val="21"/>
        </w:rPr>
        <w:fldChar w:fldCharType="end"/>
      </w:r>
      <w:r>
        <w:rPr>
          <w:rFonts w:hint="eastAsia" w:asciiTheme="minorEastAsia" w:hAnsiTheme="minorEastAsia" w:eastAsiaTheme="minorEastAsia" w:cstheme="minorEastAsia"/>
          <w:szCs w:val="21"/>
        </w:rPr>
        <w:fldChar w:fldCharType="begin"/>
      </w:r>
      <w:r>
        <w:rPr>
          <w:rFonts w:hint="eastAsia" w:asciiTheme="minorEastAsia" w:hAnsiTheme="minorEastAsia" w:eastAsiaTheme="minorEastAsia" w:cstheme="minorEastAsia"/>
          <w:szCs w:val="21"/>
        </w:rPr>
        <w:instrText xml:space="preserve"> HYPERLINK \l _Toc1974 </w:instrText>
      </w:r>
      <w:r>
        <w:rPr>
          <w:rFonts w:hint="eastAsia" w:asciiTheme="minorEastAsia" w:hAnsiTheme="minorEastAsia" w:eastAsiaTheme="minorEastAsia" w:cstheme="minorEastAsia"/>
          <w:szCs w:val="21"/>
        </w:rPr>
        <w:fldChar w:fldCharType="separate"/>
      </w:r>
      <w:r>
        <w:rPr>
          <w:rFonts w:hint="eastAsia"/>
          <w:lang w:eastAsia="zh-CN"/>
        </w:rPr>
        <w:t>（资料性）　</w:t>
      </w:r>
      <w:r>
        <w:rPr>
          <w:rFonts w:hint="eastAsia"/>
          <w:lang w:val="en-US" w:eastAsia="zh-CN"/>
        </w:rPr>
        <w:t>省级行政区或电力调度独立控制区域承载力计算流程</w:t>
      </w:r>
      <w:r>
        <w:tab/>
      </w:r>
      <w:r>
        <w:fldChar w:fldCharType="begin"/>
      </w:r>
      <w:r>
        <w:instrText xml:space="preserve"> PAGEREF _Toc1974 \h </w:instrText>
      </w:r>
      <w:r>
        <w:fldChar w:fldCharType="separate"/>
      </w:r>
      <w:r>
        <w:t>8</w:t>
      </w:r>
      <w:r>
        <w:fldChar w:fldCharType="end"/>
      </w:r>
      <w:r>
        <w:rPr>
          <w:rFonts w:hint="eastAsia" w:asciiTheme="minorEastAsia" w:hAnsiTheme="minorEastAsia" w:eastAsiaTheme="minorEastAsia" w:cstheme="minorEastAsia"/>
          <w:szCs w:val="21"/>
        </w:rPr>
        <w:fldChar w:fldCharType="end"/>
      </w:r>
    </w:p>
    <w:p>
      <w:pPr>
        <w:tabs>
          <w:tab w:val="center" w:pos="4201"/>
          <w:tab w:val="right" w:leader="dot" w:pos="9298"/>
        </w:tabs>
        <w:topLinePunct w:val="0"/>
        <w:autoSpaceDE w:val="0"/>
        <w:autoSpaceDN w:val="0"/>
        <w:adjustRightInd/>
        <w:ind w:firstLine="420" w:firstLineChars="200"/>
        <w:rPr>
          <w:rFonts w:hint="eastAsia" w:asciiTheme="minorEastAsia" w:hAnsiTheme="minorEastAsia" w:eastAsiaTheme="minorEastAsia" w:cstheme="minorEastAsia"/>
          <w:sz w:val="32"/>
        </w:rPr>
      </w:pPr>
      <w:r>
        <w:rPr>
          <w:rFonts w:hint="eastAsia" w:asciiTheme="minorEastAsia" w:hAnsiTheme="minorEastAsia" w:eastAsiaTheme="minorEastAsia" w:cstheme="minorEastAsia"/>
          <w:szCs w:val="21"/>
        </w:rPr>
        <w:fldChar w:fldCharType="end"/>
      </w:r>
    </w:p>
    <w:p>
      <w:pPr>
        <w:spacing w:line="1200" w:lineRule="auto"/>
        <w:jc w:val="center"/>
        <w:outlineLvl w:val="0"/>
        <w:rPr>
          <w:rFonts w:hint="eastAsia"/>
          <w:b/>
          <w:sz w:val="28"/>
        </w:rPr>
      </w:pPr>
      <w:r>
        <w:rPr>
          <w:b/>
          <w:sz w:val="28"/>
        </w:rPr>
        <w:br w:type="page"/>
      </w:r>
      <w:bookmarkStart w:id="37" w:name="_Toc19571"/>
      <w:bookmarkStart w:id="38" w:name="_Toc9900"/>
      <w:bookmarkStart w:id="39" w:name="_Toc20829"/>
      <w:bookmarkStart w:id="40" w:name="_Toc30666"/>
      <w:bookmarkStart w:id="41" w:name="_Toc163458488"/>
      <w:bookmarkStart w:id="42" w:name="_Toc26453"/>
      <w:bookmarkStart w:id="43" w:name="_Toc19594"/>
      <w:bookmarkStart w:id="44" w:name="_Toc30099"/>
      <w:bookmarkStart w:id="45" w:name="_Toc1016"/>
      <w:r>
        <w:rPr>
          <w:rFonts w:hint="eastAsia" w:eastAsia="黑体"/>
          <w:sz w:val="32"/>
        </w:rPr>
        <w:t>前</w:t>
      </w:r>
      <w:r>
        <w:rPr>
          <w:rFonts w:hint="eastAsia" w:eastAsia="黑体"/>
          <w:sz w:val="32"/>
          <w:lang w:val="en-US" w:eastAsia="zh-CN"/>
        </w:rPr>
        <w:t xml:space="preserve">   </w:t>
      </w:r>
      <w:r>
        <w:rPr>
          <w:rFonts w:hint="eastAsia" w:eastAsia="黑体"/>
          <w:sz w:val="32"/>
        </w:rPr>
        <w:t>言</w:t>
      </w:r>
      <w:bookmarkEnd w:id="37"/>
      <w:bookmarkEnd w:id="38"/>
      <w:bookmarkEnd w:id="39"/>
      <w:bookmarkEnd w:id="40"/>
      <w:bookmarkEnd w:id="41"/>
      <w:bookmarkEnd w:id="42"/>
      <w:bookmarkEnd w:id="43"/>
      <w:bookmarkEnd w:id="44"/>
      <w:bookmarkEnd w:id="45"/>
    </w:p>
    <w:p>
      <w:pPr>
        <w:widowControl/>
        <w:tabs>
          <w:tab w:val="center" w:pos="4201"/>
          <w:tab w:val="left" w:pos="8820"/>
          <w:tab w:val="right" w:leader="dot" w:pos="9298"/>
        </w:tabs>
        <w:topLinePunct w:val="0"/>
        <w:autoSpaceDE w:val="0"/>
        <w:autoSpaceDN w:val="0"/>
        <w:adjustRightInd/>
        <w:ind w:firstLine="420" w:firstLineChars="200"/>
        <w:rPr>
          <w:rFonts w:hint="eastAsia" w:asciiTheme="minorEastAsia" w:hAnsiTheme="minorEastAsia" w:eastAsiaTheme="minorEastAsia" w:cstheme="minorEastAsia"/>
          <w:kern w:val="0"/>
        </w:rPr>
      </w:pPr>
      <w:r>
        <w:rPr>
          <w:rFonts w:hint="eastAsia" w:asciiTheme="minorEastAsia" w:hAnsiTheme="minorEastAsia" w:eastAsiaTheme="minorEastAsia" w:cstheme="minorEastAsia"/>
          <w:kern w:val="0"/>
        </w:rPr>
        <w:t>本文件按照GB/T 1.1—2020《标准化工作导则第1部分：标准化文件的结构和起草规则》的规定起草。</w:t>
      </w:r>
    </w:p>
    <w:p>
      <w:pPr>
        <w:widowControl/>
        <w:tabs>
          <w:tab w:val="center" w:pos="4201"/>
          <w:tab w:val="left" w:pos="8820"/>
          <w:tab w:val="right" w:leader="dot" w:pos="9298"/>
        </w:tabs>
        <w:topLinePunct w:val="0"/>
        <w:autoSpaceDE w:val="0"/>
        <w:autoSpaceDN w:val="0"/>
        <w:adjustRightInd/>
        <w:ind w:firstLine="420" w:firstLineChars="200"/>
        <w:rPr>
          <w:rFonts w:hint="eastAsia" w:asciiTheme="minorEastAsia" w:hAnsiTheme="minorEastAsia" w:eastAsiaTheme="minorEastAsia" w:cstheme="minorEastAsia"/>
          <w:kern w:val="0"/>
        </w:rPr>
      </w:pPr>
      <w:r>
        <w:rPr>
          <w:rFonts w:hint="eastAsia" w:asciiTheme="minorEastAsia" w:hAnsiTheme="minorEastAsia" w:eastAsiaTheme="minorEastAsia" w:cstheme="minorEastAsia"/>
          <w:kern w:val="0"/>
        </w:rPr>
        <w:t>本文件代替DL/T 2041-2019《分布式电源接入电网承载力评估导则》，与DL/T 2041-2019相比，除结构调整和编辑性改动外，主要技术变化如下：</w:t>
      </w:r>
    </w:p>
    <w:p>
      <w:pPr>
        <w:numPr>
          <w:ilvl w:val="0"/>
          <w:numId w:val="21"/>
        </w:numPr>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rPr>
        <w:t>更改了</w:t>
      </w:r>
      <w:r>
        <w:rPr>
          <w:rFonts w:hint="eastAsia" w:asciiTheme="minorEastAsia" w:hAnsiTheme="minorEastAsia" w:eastAsiaTheme="minorEastAsia" w:cstheme="minorEastAsia"/>
          <w:lang w:val="en-US" w:eastAsia="zh-CN"/>
        </w:rPr>
        <w:t>适用范围（见第1章，2019年版的第1章）；</w:t>
      </w:r>
    </w:p>
    <w:p>
      <w:pPr>
        <w:numPr>
          <w:ilvl w:val="0"/>
          <w:numId w:val="21"/>
        </w:numPr>
        <w:rPr>
          <w:rFonts w:hint="eastAsia" w:asciiTheme="minorEastAsia" w:hAnsiTheme="minorEastAsia" w:eastAsiaTheme="minorEastAsia" w:cstheme="minorEastAsia"/>
        </w:rPr>
      </w:pPr>
      <w:r>
        <w:rPr>
          <w:rFonts w:hint="eastAsia" w:asciiTheme="minorEastAsia" w:hAnsiTheme="minorEastAsia" w:eastAsiaTheme="minorEastAsia" w:cstheme="minorEastAsia"/>
        </w:rPr>
        <w:t>增加了“分布式电源”“分布式电源</w:t>
      </w:r>
      <w:bookmarkStart w:id="218" w:name="_GoBack"/>
      <w:bookmarkEnd w:id="218"/>
      <w:r>
        <w:rPr>
          <w:rFonts w:hint="eastAsia" w:asciiTheme="minorEastAsia" w:hAnsiTheme="minorEastAsia" w:eastAsiaTheme="minorEastAsia" w:cstheme="minorEastAsia"/>
        </w:rPr>
        <w:t>承载力”“分布式电源可开放容量”</w:t>
      </w:r>
      <w:r>
        <w:rPr>
          <w:rFonts w:hint="eastAsia" w:asciiTheme="minorEastAsia" w:hAnsiTheme="minorEastAsia" w:eastAsiaTheme="minorEastAsia" w:cstheme="minorEastAsia"/>
          <w:lang w:eastAsia="zh-CN"/>
        </w:rPr>
        <w:t>“新能源利用率”</w:t>
      </w:r>
      <w:r>
        <w:rPr>
          <w:rFonts w:hint="eastAsia" w:asciiTheme="minorEastAsia" w:hAnsiTheme="minorEastAsia" w:eastAsiaTheme="minorEastAsia" w:cstheme="minorEastAsia"/>
        </w:rPr>
        <w:t>“分布式电源最大出力系数”</w:t>
      </w:r>
      <w:r>
        <w:rPr>
          <w:rFonts w:hint="eastAsia" w:asciiTheme="minorEastAsia" w:hAnsiTheme="minorEastAsia" w:eastAsiaTheme="minorEastAsia" w:cstheme="minorEastAsia"/>
          <w:lang w:val="en-US" w:eastAsia="zh-CN"/>
        </w:rPr>
        <w:t>等术语和定义</w:t>
      </w:r>
      <w:r>
        <w:rPr>
          <w:rFonts w:hint="eastAsia" w:asciiTheme="minorEastAsia" w:hAnsiTheme="minorEastAsia" w:eastAsiaTheme="minorEastAsia" w:cstheme="minorEastAsia"/>
        </w:rPr>
        <w:t>；</w:t>
      </w:r>
      <w:r>
        <w:rPr>
          <w:rFonts w:hint="eastAsia" w:asciiTheme="minorEastAsia" w:hAnsiTheme="minorEastAsia" w:eastAsiaTheme="minorEastAsia" w:cstheme="minorEastAsia"/>
          <w:lang w:val="en-US" w:eastAsia="zh-CN"/>
        </w:rPr>
        <w:t>删除了“电网承载力”“热稳定”“公共连接点”等术语和定义；更改了“反向负载率”术语和定义</w:t>
      </w:r>
      <w:r>
        <w:rPr>
          <w:rFonts w:hint="eastAsia" w:asciiTheme="minorEastAsia" w:hAnsiTheme="minorEastAsia" w:eastAsiaTheme="minorEastAsia" w:cstheme="minorEastAsia"/>
        </w:rPr>
        <w:t>（见第3章，2019年版</w:t>
      </w:r>
      <w:r>
        <w:rPr>
          <w:rFonts w:hint="eastAsia" w:asciiTheme="minorEastAsia" w:hAnsiTheme="minorEastAsia" w:eastAsiaTheme="minorEastAsia" w:cstheme="minorEastAsia"/>
          <w:lang w:eastAsia="zh-CN"/>
        </w:rPr>
        <w:t>的</w:t>
      </w:r>
      <w:r>
        <w:rPr>
          <w:rFonts w:hint="eastAsia" w:asciiTheme="minorEastAsia" w:hAnsiTheme="minorEastAsia" w:eastAsiaTheme="minorEastAsia" w:cstheme="minorEastAsia"/>
        </w:rPr>
        <w:t>第3章）</w:t>
      </w:r>
      <w:r>
        <w:rPr>
          <w:rFonts w:hint="eastAsia" w:asciiTheme="minorEastAsia" w:hAnsiTheme="minorEastAsia" w:eastAsiaTheme="minorEastAsia" w:cstheme="minorEastAsia"/>
          <w:lang w:eastAsia="zh-CN"/>
        </w:rPr>
        <w:t>；</w:t>
      </w:r>
    </w:p>
    <w:p>
      <w:pPr>
        <w:numPr>
          <w:ilvl w:val="0"/>
          <w:numId w:val="21"/>
        </w:numPr>
        <w:rPr>
          <w:rFonts w:hint="eastAsia" w:asciiTheme="minorEastAsia" w:hAnsiTheme="minorEastAsia" w:eastAsiaTheme="minorEastAsia" w:cstheme="minorEastAsia"/>
        </w:rPr>
      </w:pPr>
      <w:r>
        <w:rPr>
          <w:rFonts w:hint="eastAsia" w:asciiTheme="minorEastAsia" w:hAnsiTheme="minorEastAsia" w:eastAsiaTheme="minorEastAsia" w:cstheme="minorEastAsia"/>
        </w:rPr>
        <w:t>增加了“系统级承载力计算”技术要求（见第5章）；</w:t>
      </w:r>
    </w:p>
    <w:p>
      <w:pPr>
        <w:numPr>
          <w:ilvl w:val="0"/>
          <w:numId w:val="21"/>
        </w:numPr>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增加了“设备</w:t>
      </w:r>
      <w:r>
        <w:rPr>
          <w:rFonts w:hint="eastAsia" w:asciiTheme="minorEastAsia" w:hAnsiTheme="minorEastAsia" w:eastAsiaTheme="minorEastAsia" w:cstheme="minorEastAsia"/>
        </w:rPr>
        <w:t>级承载力计算</w:t>
      </w:r>
      <w:r>
        <w:rPr>
          <w:rFonts w:hint="eastAsia" w:asciiTheme="minorEastAsia" w:hAnsiTheme="minorEastAsia" w:eastAsiaTheme="minorEastAsia" w:cstheme="minorEastAsia"/>
          <w:lang w:val="en-US" w:eastAsia="zh-CN"/>
        </w:rPr>
        <w:t>”技术要求，更改了“热稳定评估”有关内容</w:t>
      </w:r>
      <w:r>
        <w:rPr>
          <w:rFonts w:hint="eastAsia" w:asciiTheme="minorEastAsia" w:hAnsiTheme="minorEastAsia" w:eastAsiaTheme="minorEastAsia" w:cstheme="minorEastAsia"/>
        </w:rPr>
        <w:t>（见第</w:t>
      </w:r>
      <w:r>
        <w:rPr>
          <w:rFonts w:hint="eastAsia" w:asciiTheme="minorEastAsia" w:hAnsiTheme="minorEastAsia" w:eastAsiaTheme="minorEastAsia" w:cstheme="minorEastAsia"/>
          <w:lang w:val="en-US" w:eastAsia="zh-CN"/>
        </w:rPr>
        <w:t>6</w:t>
      </w:r>
      <w:r>
        <w:rPr>
          <w:rFonts w:hint="eastAsia" w:asciiTheme="minorEastAsia" w:hAnsiTheme="minorEastAsia" w:eastAsiaTheme="minorEastAsia" w:cstheme="minorEastAsia"/>
        </w:rPr>
        <w:t>章</w:t>
      </w:r>
      <w:r>
        <w:rPr>
          <w:rFonts w:hint="eastAsia" w:asciiTheme="minorEastAsia" w:hAnsiTheme="minorEastAsia" w:eastAsiaTheme="minorEastAsia" w:cstheme="minorEastAsia"/>
          <w:lang w:eastAsia="zh-CN"/>
        </w:rPr>
        <w:t>，2019年版的第</w:t>
      </w:r>
      <w:r>
        <w:rPr>
          <w:rFonts w:hint="eastAsia" w:asciiTheme="minorEastAsia" w:hAnsiTheme="minorEastAsia" w:eastAsiaTheme="minorEastAsia" w:cstheme="minorEastAsia"/>
          <w:lang w:val="en-US" w:eastAsia="zh-CN"/>
        </w:rPr>
        <w:t>5</w:t>
      </w:r>
      <w:r>
        <w:rPr>
          <w:rFonts w:hint="eastAsia" w:asciiTheme="minorEastAsia" w:hAnsiTheme="minorEastAsia" w:eastAsiaTheme="minorEastAsia" w:cstheme="minorEastAsia"/>
          <w:lang w:eastAsia="zh-CN"/>
        </w:rPr>
        <w:t>章</w:t>
      </w:r>
      <w:r>
        <w:rPr>
          <w:rFonts w:hint="eastAsia" w:asciiTheme="minorEastAsia" w:hAnsiTheme="minorEastAsia" w:eastAsiaTheme="minorEastAsia" w:cstheme="minorEastAsia"/>
        </w:rPr>
        <w:t>）；</w:t>
      </w:r>
    </w:p>
    <w:p>
      <w:pPr>
        <w:numPr>
          <w:ilvl w:val="0"/>
          <w:numId w:val="21"/>
        </w:numPr>
        <w:rPr>
          <w:rFonts w:hint="eastAsia" w:asciiTheme="minorEastAsia" w:hAnsiTheme="minorEastAsia" w:eastAsiaTheme="minorEastAsia" w:cstheme="minorEastAsia"/>
        </w:rPr>
      </w:pPr>
      <w:r>
        <w:rPr>
          <w:rFonts w:hint="eastAsia" w:asciiTheme="minorEastAsia" w:hAnsiTheme="minorEastAsia" w:eastAsiaTheme="minorEastAsia" w:cstheme="minorEastAsia"/>
        </w:rPr>
        <w:t>增加了“</w:t>
      </w:r>
      <w:r>
        <w:rPr>
          <w:rFonts w:hint="eastAsia" w:asciiTheme="minorEastAsia" w:hAnsiTheme="minorEastAsia" w:eastAsiaTheme="minorEastAsia" w:cstheme="minorEastAsia"/>
          <w:lang w:val="en-US" w:eastAsia="zh-CN"/>
        </w:rPr>
        <w:t>承载力计算结果校核</w:t>
      </w:r>
      <w:r>
        <w:rPr>
          <w:rFonts w:hint="eastAsia" w:asciiTheme="minorEastAsia" w:hAnsiTheme="minorEastAsia" w:eastAsiaTheme="minorEastAsia" w:cstheme="minorEastAsia"/>
        </w:rPr>
        <w:t>”技术要求（见第</w:t>
      </w:r>
      <w:r>
        <w:rPr>
          <w:rFonts w:hint="eastAsia" w:asciiTheme="minorEastAsia" w:hAnsiTheme="minorEastAsia" w:eastAsiaTheme="minorEastAsia" w:cstheme="minorEastAsia"/>
          <w:lang w:val="en-US" w:eastAsia="zh-CN"/>
        </w:rPr>
        <w:t>7</w:t>
      </w:r>
      <w:r>
        <w:rPr>
          <w:rFonts w:hint="eastAsia" w:asciiTheme="minorEastAsia" w:hAnsiTheme="minorEastAsia" w:eastAsiaTheme="minorEastAsia" w:cstheme="minorEastAsia"/>
        </w:rPr>
        <w:t>章）；</w:t>
      </w:r>
    </w:p>
    <w:p>
      <w:pPr>
        <w:numPr>
          <w:ilvl w:val="0"/>
          <w:numId w:val="21"/>
        </w:numPr>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将“电网承载力等级划分”更改为“可开放容量评估及等级划分”，并更改“短路电流校核”“电压偏差校核”“谐波校核”有关内容（见第8章，</w:t>
      </w:r>
      <w:r>
        <w:rPr>
          <w:rFonts w:hint="eastAsia" w:asciiTheme="minorEastAsia" w:hAnsiTheme="minorEastAsia" w:eastAsiaTheme="minorEastAsia" w:cstheme="minorEastAsia"/>
          <w:lang w:eastAsia="zh-CN"/>
        </w:rPr>
        <w:t>2019年版的第</w:t>
      </w:r>
      <w:r>
        <w:rPr>
          <w:rFonts w:hint="eastAsia" w:asciiTheme="minorEastAsia" w:hAnsiTheme="minorEastAsia" w:eastAsiaTheme="minorEastAsia" w:cstheme="minorEastAsia"/>
          <w:lang w:val="en-US" w:eastAsia="zh-CN"/>
        </w:rPr>
        <w:t>6、7、8、9</w:t>
      </w:r>
      <w:r>
        <w:rPr>
          <w:rFonts w:hint="eastAsia" w:asciiTheme="minorEastAsia" w:hAnsiTheme="minorEastAsia" w:eastAsiaTheme="minorEastAsia" w:cstheme="minorEastAsia"/>
          <w:lang w:eastAsia="zh-CN"/>
        </w:rPr>
        <w:t>章</w:t>
      </w:r>
      <w:r>
        <w:rPr>
          <w:rFonts w:hint="eastAsia" w:asciiTheme="minorEastAsia" w:hAnsiTheme="minorEastAsia" w:eastAsiaTheme="minorEastAsia" w:cstheme="minorEastAsia"/>
          <w:lang w:val="en-US" w:eastAsia="zh-CN"/>
        </w:rPr>
        <w:t>）；</w:t>
      </w:r>
    </w:p>
    <w:p>
      <w:pPr>
        <w:numPr>
          <w:ilvl w:val="0"/>
          <w:numId w:val="21"/>
        </w:numPr>
        <w:rPr>
          <w:rFonts w:hint="eastAsia" w:asciiTheme="minorEastAsia" w:hAnsiTheme="minorEastAsia" w:eastAsiaTheme="minorEastAsia" w:cstheme="minorEastAsia"/>
        </w:rPr>
      </w:pPr>
      <w:r>
        <w:rPr>
          <w:rFonts w:hint="eastAsia" w:asciiTheme="minorEastAsia" w:hAnsiTheme="minorEastAsia" w:eastAsiaTheme="minorEastAsia" w:cstheme="minorEastAsia"/>
          <w:lang w:val="en-US" w:eastAsia="zh-CN"/>
        </w:rPr>
        <w:t>增加了“承载力提升措施”技术要求（见第9章）；</w:t>
      </w:r>
    </w:p>
    <w:p>
      <w:pPr>
        <w:numPr>
          <w:ilvl w:val="0"/>
          <w:numId w:val="21"/>
        </w:numPr>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更改了“附录A 评估流程”（见附录A，2019年版的附录A）；</w:t>
      </w:r>
    </w:p>
    <w:p>
      <w:pPr>
        <w:numPr>
          <w:ilvl w:val="0"/>
          <w:numId w:val="21"/>
        </w:numPr>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增加了附录“省级行政区或电力调度独立控制区域承载力计算流程”（见附录B）；</w:t>
      </w:r>
    </w:p>
    <w:p>
      <w:pPr>
        <w:numPr>
          <w:ilvl w:val="0"/>
          <w:numId w:val="21"/>
        </w:numPr>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删除了附录“数据要求”“评估图表示例”（见2019年版的附录B、C）；</w:t>
      </w:r>
    </w:p>
    <w:p>
      <w:pPr>
        <w:widowControl/>
        <w:tabs>
          <w:tab w:val="center" w:pos="4201"/>
          <w:tab w:val="left" w:pos="8820"/>
          <w:tab w:val="right" w:leader="dot" w:pos="9298"/>
        </w:tabs>
        <w:topLinePunct w:val="0"/>
        <w:autoSpaceDE w:val="0"/>
        <w:autoSpaceDN w:val="0"/>
        <w:adjustRightInd/>
        <w:ind w:firstLine="420" w:firstLineChars="200"/>
        <w:rPr>
          <w:rFonts w:hint="eastAsia" w:asciiTheme="minorEastAsia" w:hAnsiTheme="minorEastAsia" w:eastAsiaTheme="minorEastAsia" w:cstheme="minorEastAsia"/>
          <w:kern w:val="0"/>
        </w:rPr>
      </w:pPr>
      <w:r>
        <w:rPr>
          <w:rFonts w:hint="eastAsia" w:asciiTheme="minorEastAsia" w:hAnsiTheme="minorEastAsia" w:eastAsiaTheme="minorEastAsia" w:cstheme="minorEastAsia"/>
          <w:kern w:val="0"/>
        </w:rPr>
        <w:t>请注意本文件的某些内容可能涉及专利。本文件的发布机构不承担识别专利的责任。</w:t>
      </w:r>
    </w:p>
    <w:p>
      <w:pPr>
        <w:widowControl/>
        <w:tabs>
          <w:tab w:val="center" w:pos="4201"/>
          <w:tab w:val="right" w:leader="dot" w:pos="9298"/>
        </w:tabs>
        <w:topLinePunct w:val="0"/>
        <w:autoSpaceDE w:val="0"/>
        <w:autoSpaceDN w:val="0"/>
        <w:adjustRightInd/>
        <w:ind w:firstLine="420" w:firstLineChars="200"/>
        <w:rPr>
          <w:rFonts w:hint="eastAsia" w:asciiTheme="minorEastAsia" w:hAnsiTheme="minorEastAsia" w:eastAsiaTheme="minorEastAsia" w:cstheme="minorEastAsia"/>
          <w:kern w:val="0"/>
        </w:rPr>
      </w:pPr>
      <w:r>
        <w:rPr>
          <w:rFonts w:hint="eastAsia" w:asciiTheme="minorEastAsia" w:hAnsiTheme="minorEastAsia" w:eastAsiaTheme="minorEastAsia" w:cstheme="minorEastAsia"/>
          <w:kern w:val="0"/>
        </w:rPr>
        <w:t>本文件由全国微电网与分布式电源并网标准化技术委员会（SAC/TC564）提出并归口。</w:t>
      </w:r>
    </w:p>
    <w:p>
      <w:pPr>
        <w:widowControl/>
        <w:tabs>
          <w:tab w:val="center" w:pos="4201"/>
          <w:tab w:val="right" w:leader="dot" w:pos="9298"/>
        </w:tabs>
        <w:topLinePunct w:val="0"/>
        <w:autoSpaceDE w:val="0"/>
        <w:autoSpaceDN w:val="0"/>
        <w:adjustRightInd/>
        <w:ind w:firstLine="420" w:firstLineChars="200"/>
        <w:rPr>
          <w:rFonts w:hint="eastAsia" w:asciiTheme="minorEastAsia" w:hAnsiTheme="minorEastAsia" w:eastAsiaTheme="minorEastAsia" w:cstheme="minorEastAsia"/>
          <w:kern w:val="0"/>
          <w:lang w:eastAsia="zh-CN"/>
        </w:rPr>
      </w:pPr>
      <w:r>
        <w:rPr>
          <w:rFonts w:hint="eastAsia" w:asciiTheme="minorEastAsia" w:hAnsiTheme="minorEastAsia" w:eastAsiaTheme="minorEastAsia" w:cstheme="minorEastAsia"/>
          <w:kern w:val="0"/>
        </w:rPr>
        <w:t>本文件起草单位：</w:t>
      </w:r>
      <w:bookmarkStart w:id="46" w:name="_Hlk199944909"/>
    </w:p>
    <w:p>
      <w:pPr>
        <w:widowControl/>
        <w:tabs>
          <w:tab w:val="center" w:pos="4201"/>
          <w:tab w:val="right" w:leader="dot" w:pos="9298"/>
        </w:tabs>
        <w:topLinePunct w:val="0"/>
        <w:autoSpaceDE w:val="0"/>
        <w:autoSpaceDN w:val="0"/>
        <w:adjustRightInd/>
        <w:ind w:firstLine="420" w:firstLineChars="200"/>
        <w:rPr>
          <w:rFonts w:hint="eastAsia" w:asciiTheme="minorEastAsia" w:hAnsiTheme="minorEastAsia" w:eastAsiaTheme="minorEastAsia" w:cstheme="minorEastAsia"/>
          <w:kern w:val="0"/>
        </w:rPr>
      </w:pPr>
      <w:r>
        <w:rPr>
          <w:rFonts w:hint="eastAsia" w:asciiTheme="minorEastAsia" w:hAnsiTheme="minorEastAsia" w:eastAsiaTheme="minorEastAsia" w:cstheme="minorEastAsia"/>
          <w:kern w:val="0"/>
        </w:rPr>
        <w:t>本文件主要起草人：</w:t>
      </w:r>
    </w:p>
    <w:bookmarkEnd w:id="46"/>
    <w:p>
      <w:pPr>
        <w:widowControl/>
        <w:tabs>
          <w:tab w:val="center" w:pos="4201"/>
          <w:tab w:val="right" w:leader="dot" w:pos="9298"/>
        </w:tabs>
        <w:topLinePunct w:val="0"/>
        <w:autoSpaceDE w:val="0"/>
        <w:autoSpaceDN w:val="0"/>
        <w:adjustRightInd/>
        <w:ind w:firstLine="420" w:firstLineChars="200"/>
        <w:rPr>
          <w:rFonts w:hint="eastAsia" w:asciiTheme="minorEastAsia" w:hAnsiTheme="minorEastAsia" w:eastAsiaTheme="minorEastAsia" w:cstheme="minorEastAsia"/>
          <w:kern w:val="0"/>
        </w:rPr>
      </w:pPr>
      <w:r>
        <w:rPr>
          <w:rFonts w:hint="eastAsia" w:asciiTheme="minorEastAsia" w:hAnsiTheme="minorEastAsia" w:eastAsiaTheme="minorEastAsia" w:cstheme="minorEastAsia"/>
          <w:kern w:val="0"/>
        </w:rPr>
        <w:t>本文件及其所代替或废止的文件的历次版本发布情况：</w:t>
      </w:r>
    </w:p>
    <w:p>
      <w:pPr>
        <w:widowControl/>
        <w:tabs>
          <w:tab w:val="center" w:pos="4201"/>
          <w:tab w:val="right" w:leader="dot" w:pos="9298"/>
        </w:tabs>
        <w:topLinePunct w:val="0"/>
        <w:autoSpaceDE w:val="0"/>
        <w:autoSpaceDN w:val="0"/>
        <w:adjustRightInd/>
        <w:ind w:firstLine="420" w:firstLineChars="200"/>
        <w:rPr>
          <w:rFonts w:hint="eastAsia" w:asciiTheme="minorEastAsia" w:hAnsiTheme="minorEastAsia" w:eastAsiaTheme="minorEastAsia" w:cstheme="minorEastAsia"/>
          <w:kern w:val="0"/>
        </w:rPr>
      </w:pPr>
      <w:r>
        <w:rPr>
          <w:rFonts w:hint="eastAsia" w:asciiTheme="minorEastAsia" w:hAnsiTheme="minorEastAsia" w:eastAsiaTheme="minorEastAsia" w:cstheme="minorEastAsia"/>
          <w:kern w:val="0"/>
        </w:rPr>
        <w:t>——201</w:t>
      </w:r>
      <w:r>
        <w:rPr>
          <w:rFonts w:hint="eastAsia" w:asciiTheme="minorEastAsia" w:hAnsiTheme="minorEastAsia" w:eastAsiaTheme="minorEastAsia" w:cstheme="minorEastAsia"/>
          <w:kern w:val="0"/>
          <w:lang w:val="en-US" w:eastAsia="zh-CN"/>
        </w:rPr>
        <w:t>9</w:t>
      </w:r>
      <w:r>
        <w:rPr>
          <w:rFonts w:hint="eastAsia" w:asciiTheme="minorEastAsia" w:hAnsiTheme="minorEastAsia" w:eastAsiaTheme="minorEastAsia" w:cstheme="minorEastAsia"/>
          <w:kern w:val="0"/>
        </w:rPr>
        <w:t>年</w:t>
      </w:r>
      <w:r>
        <w:rPr>
          <w:rFonts w:hint="eastAsia" w:asciiTheme="minorEastAsia" w:hAnsiTheme="minorEastAsia" w:eastAsiaTheme="minorEastAsia" w:cstheme="minorEastAsia"/>
          <w:kern w:val="0"/>
          <w:lang w:val="en-US" w:eastAsia="zh-CN"/>
        </w:rPr>
        <w:t>6</w:t>
      </w:r>
      <w:r>
        <w:rPr>
          <w:rFonts w:hint="eastAsia" w:asciiTheme="minorEastAsia" w:hAnsiTheme="minorEastAsia" w:eastAsiaTheme="minorEastAsia" w:cstheme="minorEastAsia"/>
          <w:kern w:val="0"/>
        </w:rPr>
        <w:t>月首次发布为DL/T 2041-2019；</w:t>
      </w:r>
    </w:p>
    <w:p>
      <w:pPr>
        <w:widowControl/>
        <w:tabs>
          <w:tab w:val="center" w:pos="4201"/>
          <w:tab w:val="right" w:leader="dot" w:pos="9298"/>
        </w:tabs>
        <w:topLinePunct w:val="0"/>
        <w:autoSpaceDE w:val="0"/>
        <w:autoSpaceDN w:val="0"/>
        <w:adjustRightInd/>
        <w:ind w:firstLine="420" w:firstLineChars="200"/>
        <w:rPr>
          <w:rFonts w:hint="eastAsia" w:asciiTheme="minorEastAsia" w:hAnsiTheme="minorEastAsia" w:eastAsiaTheme="minorEastAsia" w:cstheme="minorEastAsia"/>
          <w:kern w:val="0"/>
        </w:rPr>
      </w:pPr>
      <w:r>
        <w:rPr>
          <w:rFonts w:hint="eastAsia" w:asciiTheme="minorEastAsia" w:hAnsiTheme="minorEastAsia" w:eastAsiaTheme="minorEastAsia" w:cstheme="minorEastAsia"/>
          <w:kern w:val="0"/>
        </w:rPr>
        <w:t>——本次为第一次修订。</w:t>
      </w:r>
    </w:p>
    <w:p>
      <w:pPr>
        <w:widowControl/>
        <w:tabs>
          <w:tab w:val="center" w:pos="4201"/>
          <w:tab w:val="right" w:leader="dot" w:pos="9298"/>
        </w:tabs>
        <w:topLinePunct w:val="0"/>
        <w:autoSpaceDE w:val="0"/>
        <w:autoSpaceDN w:val="0"/>
        <w:adjustRightInd/>
        <w:ind w:firstLine="420" w:firstLineChars="200"/>
        <w:rPr>
          <w:rFonts w:hint="eastAsia" w:asciiTheme="minorEastAsia" w:hAnsiTheme="minorEastAsia" w:eastAsiaTheme="minorEastAsia" w:cstheme="minorEastAsia"/>
          <w:kern w:val="0"/>
        </w:rPr>
      </w:pPr>
      <w:r>
        <w:rPr>
          <w:rFonts w:hint="eastAsia" w:asciiTheme="minorEastAsia" w:hAnsiTheme="minorEastAsia" w:eastAsiaTheme="minorEastAsia" w:cstheme="minorEastAsia"/>
          <w:kern w:val="0"/>
        </w:rPr>
        <w:t>本文件在执行过程中的意见或建议反馈至中国电力企业联合会标准化管理中心（北京市白广路二条一号，100761）。</w:t>
      </w:r>
    </w:p>
    <w:bookmarkEnd w:id="1"/>
    <w:p>
      <w:pPr>
        <w:widowControl/>
        <w:tabs>
          <w:tab w:val="center" w:pos="4201"/>
          <w:tab w:val="right" w:leader="dot" w:pos="9298"/>
        </w:tabs>
        <w:topLinePunct w:val="0"/>
        <w:autoSpaceDE w:val="0"/>
        <w:autoSpaceDN w:val="0"/>
        <w:adjustRightInd/>
        <w:ind w:firstLine="420" w:firstLineChars="200"/>
        <w:rPr>
          <w:rFonts w:hint="eastAsia" w:asciiTheme="minorEastAsia" w:hAnsiTheme="minorEastAsia" w:eastAsiaTheme="minorEastAsia" w:cstheme="minorEastAsia"/>
          <w:kern w:val="0"/>
        </w:rPr>
        <w:sectPr>
          <w:headerReference r:id="rId9" w:type="default"/>
          <w:footerReference r:id="rId11" w:type="default"/>
          <w:headerReference r:id="rId10" w:type="even"/>
          <w:footerReference r:id="rId12" w:type="even"/>
          <w:pgSz w:w="11906" w:h="16838"/>
          <w:pgMar w:top="567" w:right="1134" w:bottom="1134" w:left="1418" w:header="1418" w:footer="1134" w:gutter="0"/>
          <w:pgNumType w:fmt="upperRoman" w:start="1"/>
          <w:cols w:space="720" w:num="1"/>
          <w:docGrid w:type="lines" w:linePitch="312" w:charSpace="0"/>
        </w:sectPr>
      </w:pPr>
      <w:bookmarkStart w:id="47" w:name="_Toc180749546"/>
      <w:bookmarkStart w:id="48" w:name="_Toc111394162"/>
      <w:bookmarkStart w:id="49" w:name="_Toc106028874"/>
      <w:bookmarkStart w:id="50" w:name="_Toc85450212"/>
      <w:bookmarkStart w:id="51" w:name="_Toc106028828"/>
      <w:bookmarkStart w:id="52" w:name="_Toc110203185"/>
      <w:bookmarkStart w:id="53" w:name="_Toc123551728"/>
      <w:bookmarkStart w:id="54" w:name="_Toc103267174"/>
      <w:bookmarkStart w:id="55" w:name="_Toc101716601"/>
      <w:bookmarkStart w:id="56" w:name="SectionMark4"/>
      <w:bookmarkStart w:id="57" w:name="_Toc108543109"/>
    </w:p>
    <w:p>
      <w:pPr>
        <w:adjustRightInd/>
        <w:spacing w:before="312" w:beforeLines="100" w:line="960" w:lineRule="auto"/>
        <w:jc w:val="center"/>
        <w:rPr>
          <w:rFonts w:hint="eastAsia" w:eastAsia="黑体"/>
          <w:sz w:val="32"/>
        </w:rPr>
      </w:pPr>
      <w:r>
        <w:rPr>
          <w:rFonts w:hint="eastAsia" w:eastAsia="黑体"/>
          <w:sz w:val="32"/>
        </w:rPr>
        <w:t>分布式电源</w:t>
      </w:r>
      <w:r>
        <w:rPr>
          <w:rFonts w:hint="eastAsia" w:eastAsia="黑体"/>
          <w:sz w:val="32"/>
          <w:lang w:eastAsia="zh-CN"/>
        </w:rPr>
        <w:t>接入电力系统</w:t>
      </w:r>
      <w:r>
        <w:rPr>
          <w:rFonts w:hint="eastAsia" w:eastAsia="黑体"/>
          <w:sz w:val="32"/>
        </w:rPr>
        <w:t>承载力评估导则</w:t>
      </w:r>
    </w:p>
    <w:bookmarkEnd w:id="47"/>
    <w:bookmarkEnd w:id="48"/>
    <w:bookmarkEnd w:id="49"/>
    <w:bookmarkEnd w:id="50"/>
    <w:bookmarkEnd w:id="51"/>
    <w:bookmarkEnd w:id="52"/>
    <w:bookmarkEnd w:id="53"/>
    <w:bookmarkEnd w:id="54"/>
    <w:bookmarkEnd w:id="55"/>
    <w:bookmarkEnd w:id="56"/>
    <w:bookmarkEnd w:id="57"/>
    <w:p>
      <w:pPr>
        <w:pStyle w:val="119"/>
        <w:widowControl/>
        <w:numPr>
          <w:ilvl w:val="0"/>
          <w:numId w:val="22"/>
        </w:numPr>
        <w:adjustRightInd/>
        <w:spacing w:before="312" w:beforeLines="100" w:after="312" w:afterLines="100" w:line="240" w:lineRule="auto"/>
        <w:jc w:val="both"/>
        <w:textAlignment w:val="auto"/>
        <w:outlineLvl w:val="0"/>
        <w:rPr>
          <w:rFonts w:hint="eastAsia"/>
        </w:rPr>
      </w:pPr>
      <w:bookmarkStart w:id="58" w:name="_Toc276130873"/>
      <w:bookmarkStart w:id="59" w:name="_Toc20880"/>
      <w:bookmarkStart w:id="60" w:name="_Toc4612"/>
      <w:bookmarkStart w:id="61" w:name="_Toc5085"/>
      <w:bookmarkStart w:id="62" w:name="_Toc16"/>
      <w:bookmarkStart w:id="63" w:name="_Toc12273"/>
      <w:bookmarkStart w:id="64" w:name="_Toc32506"/>
      <w:bookmarkStart w:id="65" w:name="_Toc163458489"/>
      <w:bookmarkStart w:id="66" w:name="_Toc27181"/>
      <w:bookmarkStart w:id="67" w:name="_Toc275857034"/>
      <w:bookmarkStart w:id="68" w:name="_Toc8173"/>
      <w:bookmarkStart w:id="69" w:name="_Toc161998128"/>
      <w:bookmarkStart w:id="70" w:name="_Toc164088680"/>
      <w:r>
        <w:rPr>
          <w:rFonts w:hint="eastAsia"/>
        </w:rPr>
        <w:t>范围</w:t>
      </w:r>
      <w:bookmarkEnd w:id="58"/>
      <w:bookmarkEnd w:id="59"/>
      <w:bookmarkEnd w:id="60"/>
      <w:bookmarkEnd w:id="61"/>
      <w:bookmarkEnd w:id="62"/>
      <w:bookmarkEnd w:id="63"/>
      <w:bookmarkEnd w:id="64"/>
      <w:bookmarkEnd w:id="65"/>
      <w:bookmarkEnd w:id="66"/>
      <w:bookmarkEnd w:id="67"/>
      <w:bookmarkEnd w:id="68"/>
      <w:bookmarkEnd w:id="69"/>
      <w:bookmarkEnd w:id="70"/>
    </w:p>
    <w:p>
      <w:pPr>
        <w:pStyle w:val="120"/>
        <w:widowControl/>
        <w:tabs>
          <w:tab w:val="center" w:pos="4201"/>
          <w:tab w:val="right" w:leader="dot" w:pos="9298"/>
        </w:tabs>
        <w:adjustRightInd/>
        <w:spacing w:line="240" w:lineRule="auto"/>
        <w:ind w:firstLine="420"/>
        <w:jc w:val="both"/>
        <w:textAlignment w:val="auto"/>
      </w:pPr>
      <w:r>
        <w:rPr>
          <w:rFonts w:hint="eastAsia"/>
        </w:rPr>
        <w:t>本文件</w:t>
      </w:r>
      <w:r>
        <w:rPr>
          <w:rFonts w:hint="eastAsia"/>
          <w:lang w:val="en-US" w:eastAsia="zh-CN"/>
        </w:rPr>
        <w:t>规定</w:t>
      </w:r>
      <w:r>
        <w:rPr>
          <w:rFonts w:hint="eastAsia"/>
        </w:rPr>
        <w:t>了分布式电源</w:t>
      </w:r>
      <w:r>
        <w:rPr>
          <w:rFonts w:hint="eastAsia"/>
          <w:lang w:val="en-US" w:eastAsia="zh-CN"/>
        </w:rPr>
        <w:t>接入电力系统</w:t>
      </w:r>
      <w:r>
        <w:rPr>
          <w:rFonts w:hint="eastAsia"/>
        </w:rPr>
        <w:t>承载力评估</w:t>
      </w:r>
      <w:r>
        <w:rPr>
          <w:rFonts w:hint="eastAsia"/>
          <w:lang w:eastAsia="zh-CN"/>
        </w:rPr>
        <w:t>的</w:t>
      </w:r>
      <w:r>
        <w:rPr>
          <w:rFonts w:hint="eastAsia"/>
          <w:lang w:val="en-US" w:eastAsia="zh-CN"/>
        </w:rPr>
        <w:t>总体要求</w:t>
      </w:r>
      <w:r>
        <w:rPr>
          <w:rFonts w:hint="eastAsia"/>
          <w:lang w:eastAsia="zh-CN"/>
        </w:rPr>
        <w:t>、</w:t>
      </w:r>
      <w:r>
        <w:rPr>
          <w:rFonts w:hint="eastAsia"/>
        </w:rPr>
        <w:t>系统级承载力计算、设备级承载力计算、</w:t>
      </w:r>
      <w:r>
        <w:rPr>
          <w:rFonts w:hint="eastAsia"/>
          <w:lang w:val="en-US" w:eastAsia="zh-CN"/>
        </w:rPr>
        <w:t>承载力计算结果</w:t>
      </w:r>
      <w:r>
        <w:rPr>
          <w:rFonts w:hint="eastAsia"/>
        </w:rPr>
        <w:t>校核、可开放容量评估</w:t>
      </w:r>
      <w:r>
        <w:rPr>
          <w:rFonts w:hint="eastAsia"/>
          <w:lang w:val="en-US" w:eastAsia="zh-CN"/>
        </w:rPr>
        <w:t>及等级划分等内容，并提出</w:t>
      </w:r>
      <w:r>
        <w:rPr>
          <w:rFonts w:hint="eastAsia"/>
          <w:highlight w:val="none"/>
          <w:lang w:val="en-US" w:eastAsia="zh-CN"/>
        </w:rPr>
        <w:t>了</w:t>
      </w:r>
      <w:r>
        <w:rPr>
          <w:rFonts w:hint="eastAsia"/>
          <w:highlight w:val="none"/>
        </w:rPr>
        <w:t>承载力提升措施</w:t>
      </w:r>
      <w:r>
        <w:rPr>
          <w:rFonts w:hint="eastAsia"/>
          <w:highlight w:val="none"/>
          <w:lang w:eastAsia="zh-CN"/>
        </w:rPr>
        <w:t>的</w:t>
      </w:r>
      <w:r>
        <w:rPr>
          <w:rFonts w:hint="eastAsia"/>
          <w:highlight w:val="none"/>
          <w:lang w:val="en-US" w:eastAsia="zh-CN"/>
        </w:rPr>
        <w:t>相关要求</w:t>
      </w:r>
      <w:r>
        <w:rPr>
          <w:rFonts w:hint="eastAsia"/>
        </w:rPr>
        <w:t>。</w:t>
      </w:r>
    </w:p>
    <w:p>
      <w:pPr>
        <w:pStyle w:val="120"/>
        <w:widowControl/>
        <w:tabs>
          <w:tab w:val="center" w:pos="4201"/>
          <w:tab w:val="right" w:leader="dot" w:pos="9298"/>
        </w:tabs>
        <w:adjustRightInd/>
        <w:spacing w:line="240" w:lineRule="auto"/>
        <w:ind w:firstLine="420"/>
        <w:jc w:val="both"/>
        <w:textAlignment w:val="auto"/>
        <w:rPr>
          <w:rFonts w:hint="default" w:eastAsia="宋体"/>
          <w:lang w:val="en-US" w:eastAsia="zh-CN"/>
        </w:rPr>
      </w:pPr>
      <w:r>
        <w:rPr>
          <w:rFonts w:hint="eastAsia"/>
        </w:rPr>
        <w:t>本文件适用于分布式电源</w:t>
      </w:r>
      <w:r>
        <w:rPr>
          <w:rFonts w:hint="eastAsia"/>
          <w:lang w:val="en-US" w:eastAsia="zh-CN"/>
        </w:rPr>
        <w:t>接入电力系统</w:t>
      </w:r>
      <w:r>
        <w:rPr>
          <w:rFonts w:hint="eastAsia"/>
        </w:rPr>
        <w:t>承载力</w:t>
      </w:r>
      <w:r>
        <w:rPr>
          <w:rFonts w:hint="eastAsia"/>
          <w:lang w:val="en-US" w:eastAsia="zh-CN"/>
        </w:rPr>
        <w:t>计算及可开放容量评估。</w:t>
      </w:r>
    </w:p>
    <w:p>
      <w:pPr>
        <w:pStyle w:val="119"/>
        <w:widowControl/>
        <w:numPr>
          <w:ilvl w:val="0"/>
          <w:numId w:val="22"/>
        </w:numPr>
        <w:adjustRightInd/>
        <w:spacing w:before="312" w:beforeLines="100" w:after="312" w:afterLines="100" w:line="240" w:lineRule="auto"/>
        <w:jc w:val="both"/>
        <w:textAlignment w:val="auto"/>
        <w:outlineLvl w:val="0"/>
        <w:rPr>
          <w:rFonts w:hint="eastAsia"/>
        </w:rPr>
      </w:pPr>
      <w:bookmarkStart w:id="71" w:name="_Toc275857035"/>
      <w:bookmarkStart w:id="72" w:name="_Toc27895"/>
      <w:bookmarkStart w:id="73" w:name="_Toc29016"/>
      <w:bookmarkStart w:id="74" w:name="_Toc276130874"/>
      <w:bookmarkStart w:id="75" w:name="_Toc26396"/>
      <w:bookmarkStart w:id="76" w:name="_Toc25186"/>
      <w:bookmarkStart w:id="77" w:name="_Toc22706"/>
      <w:bookmarkStart w:id="78" w:name="_Toc24653"/>
      <w:bookmarkStart w:id="79" w:name="_Toc163458490"/>
      <w:bookmarkStart w:id="80" w:name="_Toc24814"/>
      <w:bookmarkStart w:id="81" w:name="_Toc1882"/>
      <w:bookmarkStart w:id="82" w:name="_Toc164088681"/>
      <w:bookmarkStart w:id="83" w:name="_Toc161998129"/>
      <w:r>
        <w:rPr>
          <w:rFonts w:hint="eastAsia"/>
        </w:rPr>
        <w:t>规范性引用文件</w:t>
      </w:r>
      <w:bookmarkEnd w:id="71"/>
      <w:bookmarkEnd w:id="72"/>
      <w:bookmarkEnd w:id="73"/>
      <w:bookmarkEnd w:id="74"/>
      <w:bookmarkEnd w:id="75"/>
      <w:bookmarkEnd w:id="76"/>
      <w:bookmarkEnd w:id="77"/>
      <w:bookmarkEnd w:id="78"/>
      <w:bookmarkEnd w:id="79"/>
      <w:bookmarkEnd w:id="80"/>
      <w:bookmarkEnd w:id="81"/>
      <w:bookmarkEnd w:id="82"/>
      <w:bookmarkEnd w:id="83"/>
    </w:p>
    <w:p>
      <w:pPr>
        <w:pStyle w:val="120"/>
        <w:topLinePunct/>
        <w:autoSpaceDE/>
        <w:autoSpaceDN/>
        <w:spacing w:line="312" w:lineRule="exact"/>
        <w:ind w:firstLine="420" w:firstLineChars="0"/>
        <w:jc w:val="both"/>
        <w:rPr>
          <w:rFonts w:ascii="Times New Roman"/>
        </w:rPr>
      </w:pPr>
      <w:r>
        <w:rPr>
          <w:rFonts w:ascii="Times New Roman"/>
        </w:rPr>
        <w:t>下列文件</w:t>
      </w:r>
      <w:r>
        <w:rPr>
          <w:rFonts w:hint="eastAsia" w:ascii="Times New Roman"/>
        </w:rPr>
        <w:t>中的内容通过文中的规范性引用而构成</w:t>
      </w:r>
      <w:r>
        <w:rPr>
          <w:rFonts w:ascii="Times New Roman"/>
        </w:rPr>
        <w:t>本文件必不可少的</w:t>
      </w:r>
      <w:r>
        <w:rPr>
          <w:rFonts w:hint="eastAsia" w:ascii="Times New Roman"/>
        </w:rPr>
        <w:t>条款。其中</w:t>
      </w:r>
      <w:r>
        <w:rPr>
          <w:rFonts w:ascii="Times New Roman"/>
        </w:rPr>
        <w:t>注日期的引用文件，仅</w:t>
      </w:r>
      <w:r>
        <w:rPr>
          <w:rFonts w:hint="eastAsia" w:ascii="Times New Roman"/>
        </w:rPr>
        <w:t>该</w:t>
      </w:r>
      <w:r>
        <w:rPr>
          <w:rFonts w:ascii="Times New Roman"/>
        </w:rPr>
        <w:t>日期</w:t>
      </w:r>
      <w:r>
        <w:rPr>
          <w:rFonts w:hint="eastAsia" w:ascii="Times New Roman"/>
        </w:rPr>
        <w:t>对应</w:t>
      </w:r>
      <w:r>
        <w:rPr>
          <w:rFonts w:ascii="Times New Roman"/>
        </w:rPr>
        <w:t>的版本适用于本文件</w:t>
      </w:r>
      <w:r>
        <w:rPr>
          <w:rFonts w:hint="eastAsia" w:ascii="Times New Roman"/>
        </w:rPr>
        <w:t>；</w:t>
      </w:r>
      <w:r>
        <w:rPr>
          <w:rFonts w:ascii="Times New Roman"/>
        </w:rPr>
        <w:t>不注日期的引用文件，其最新版本（包括所有的修改单）适用于本文件。</w:t>
      </w:r>
    </w:p>
    <w:p>
      <w:pPr>
        <w:pStyle w:val="120"/>
        <w:widowControl/>
        <w:tabs>
          <w:tab w:val="center" w:pos="4201"/>
          <w:tab w:val="right" w:leader="dot" w:pos="9298"/>
        </w:tabs>
        <w:adjustRightInd/>
        <w:spacing w:line="240" w:lineRule="auto"/>
        <w:ind w:firstLine="420"/>
        <w:jc w:val="both"/>
        <w:textAlignment w:val="auto"/>
        <w:rPr>
          <w:rFonts w:hint="eastAsia"/>
        </w:rPr>
      </w:pPr>
      <w:bookmarkStart w:id="84" w:name="OLE_LINK11"/>
      <w:bookmarkStart w:id="85" w:name="OLE_LINK22"/>
      <w:bookmarkStart w:id="86" w:name="_Hlk161319027"/>
      <w:bookmarkStart w:id="87" w:name="_Toc275857036"/>
      <w:r>
        <w:rPr>
          <w:rFonts w:hint="eastAsia"/>
        </w:rPr>
        <w:t xml:space="preserve">GB/T 12325 </w:t>
      </w:r>
      <w:r>
        <w:rPr>
          <w:rFonts w:hint="eastAsia"/>
          <w:lang w:val="en-US" w:eastAsia="zh-CN"/>
        </w:rPr>
        <w:t xml:space="preserve"> </w:t>
      </w:r>
      <w:r>
        <w:rPr>
          <w:rFonts w:hint="eastAsia"/>
        </w:rPr>
        <w:t>电能质量 供电电压偏差</w:t>
      </w:r>
    </w:p>
    <w:p>
      <w:pPr>
        <w:pStyle w:val="120"/>
        <w:widowControl/>
        <w:tabs>
          <w:tab w:val="center" w:pos="4201"/>
          <w:tab w:val="right" w:leader="dot" w:pos="9298"/>
        </w:tabs>
        <w:adjustRightInd/>
        <w:spacing w:line="240" w:lineRule="auto"/>
        <w:ind w:firstLine="420"/>
        <w:jc w:val="both"/>
        <w:textAlignment w:val="auto"/>
        <w:rPr>
          <w:rFonts w:hint="eastAsia"/>
        </w:rPr>
      </w:pPr>
      <w:r>
        <w:rPr>
          <w:rFonts w:hint="eastAsia"/>
        </w:rPr>
        <w:t xml:space="preserve">GB/T 15544 </w:t>
      </w:r>
      <w:r>
        <w:rPr>
          <w:rFonts w:hint="eastAsia"/>
          <w:lang w:val="en-US" w:eastAsia="zh-CN"/>
        </w:rPr>
        <w:t xml:space="preserve"> </w:t>
      </w:r>
      <w:r>
        <w:rPr>
          <w:rFonts w:hint="eastAsia"/>
        </w:rPr>
        <w:t>三相交流系统短路电流计算</w:t>
      </w:r>
    </w:p>
    <w:p>
      <w:pPr>
        <w:pStyle w:val="120"/>
        <w:widowControl/>
        <w:tabs>
          <w:tab w:val="center" w:pos="4201"/>
          <w:tab w:val="right" w:leader="dot" w:pos="9298"/>
        </w:tabs>
        <w:adjustRightInd/>
        <w:spacing w:line="240" w:lineRule="auto"/>
        <w:ind w:firstLine="420"/>
        <w:jc w:val="both"/>
        <w:textAlignment w:val="auto"/>
        <w:rPr>
          <w:rFonts w:hint="eastAsia"/>
        </w:rPr>
      </w:pPr>
      <w:r>
        <w:rPr>
          <w:rFonts w:hint="eastAsia"/>
        </w:rPr>
        <w:t xml:space="preserve">GB/T 29319 </w:t>
      </w:r>
      <w:r>
        <w:rPr>
          <w:rFonts w:hint="eastAsia"/>
          <w:lang w:val="en-US" w:eastAsia="zh-CN"/>
        </w:rPr>
        <w:t xml:space="preserve"> </w:t>
      </w:r>
      <w:r>
        <w:rPr>
          <w:rFonts w:hint="eastAsia"/>
        </w:rPr>
        <w:t>光伏发电系统接入配电网技术规定</w:t>
      </w:r>
    </w:p>
    <w:p>
      <w:pPr>
        <w:pStyle w:val="120"/>
        <w:widowControl/>
        <w:tabs>
          <w:tab w:val="center" w:pos="4201"/>
          <w:tab w:val="right" w:leader="dot" w:pos="9298"/>
        </w:tabs>
        <w:adjustRightInd/>
        <w:spacing w:line="240" w:lineRule="auto"/>
        <w:ind w:firstLine="420"/>
        <w:jc w:val="both"/>
        <w:textAlignment w:val="auto"/>
        <w:rPr>
          <w:rFonts w:hint="eastAsia"/>
        </w:rPr>
      </w:pPr>
      <w:r>
        <w:rPr>
          <w:rFonts w:hint="eastAsia"/>
        </w:rPr>
        <w:t xml:space="preserve">GB/T 33593 </w:t>
      </w:r>
      <w:r>
        <w:rPr>
          <w:rFonts w:hint="eastAsia"/>
          <w:lang w:val="en-US" w:eastAsia="zh-CN"/>
        </w:rPr>
        <w:t xml:space="preserve"> </w:t>
      </w:r>
      <w:r>
        <w:rPr>
          <w:rFonts w:hint="eastAsia"/>
        </w:rPr>
        <w:t>分布式电源并网技术要求</w:t>
      </w:r>
    </w:p>
    <w:p>
      <w:pPr>
        <w:pStyle w:val="120"/>
        <w:widowControl/>
        <w:tabs>
          <w:tab w:val="center" w:pos="4201"/>
          <w:tab w:val="right" w:leader="dot" w:pos="9298"/>
        </w:tabs>
        <w:adjustRightInd/>
        <w:spacing w:line="240" w:lineRule="auto"/>
        <w:ind w:firstLine="420"/>
        <w:jc w:val="both"/>
        <w:textAlignment w:val="auto"/>
        <w:rPr>
          <w:rFonts w:hint="eastAsia"/>
        </w:rPr>
      </w:pPr>
      <w:r>
        <w:rPr>
          <w:rFonts w:hint="eastAsia"/>
        </w:rPr>
        <w:t xml:space="preserve">GB 38755 </w:t>
      </w:r>
      <w:r>
        <w:rPr>
          <w:rFonts w:hint="eastAsia"/>
          <w:lang w:val="en-US" w:eastAsia="zh-CN"/>
        </w:rPr>
        <w:t xml:space="preserve"> </w:t>
      </w:r>
      <w:r>
        <w:rPr>
          <w:rFonts w:hint="eastAsia"/>
        </w:rPr>
        <w:t>电力系统安全稳定导则</w:t>
      </w:r>
    </w:p>
    <w:p>
      <w:pPr>
        <w:pStyle w:val="120"/>
        <w:widowControl/>
        <w:tabs>
          <w:tab w:val="center" w:pos="4201"/>
          <w:tab w:val="right" w:leader="dot" w:pos="9298"/>
        </w:tabs>
        <w:adjustRightInd/>
        <w:spacing w:line="240" w:lineRule="auto"/>
        <w:ind w:firstLine="420"/>
        <w:jc w:val="both"/>
        <w:textAlignment w:val="auto"/>
        <w:rPr>
          <w:rFonts w:hint="eastAsia" w:ascii="宋体" w:hAnsi="Times New Roman" w:eastAsia="宋体" w:cs="Times New Roman"/>
          <w:lang w:val="en-US" w:eastAsia="zh-CN"/>
        </w:rPr>
      </w:pPr>
      <w:r>
        <w:rPr>
          <w:rFonts w:hint="eastAsia" w:ascii="宋体" w:hAnsi="Times New Roman" w:eastAsia="宋体" w:cs="Times New Roman"/>
        </w:rPr>
        <w:t>GB/T 38969</w:t>
      </w:r>
      <w:r>
        <w:rPr>
          <w:rFonts w:hint="eastAsia" w:ascii="宋体" w:hAnsi="Times New Roman" w:eastAsia="宋体" w:cs="Times New Roman"/>
          <w:lang w:val="en-US" w:eastAsia="zh-CN"/>
        </w:rPr>
        <w:t xml:space="preserve"> </w:t>
      </w:r>
      <w:r>
        <w:rPr>
          <w:rFonts w:hint="eastAsia" w:cs="Times New Roman"/>
          <w:lang w:val="en-US" w:eastAsia="zh-CN"/>
        </w:rPr>
        <w:t xml:space="preserve"> </w:t>
      </w:r>
      <w:r>
        <w:rPr>
          <w:rFonts w:hint="eastAsia" w:ascii="宋体" w:hAnsi="Times New Roman" w:eastAsia="宋体" w:cs="Times New Roman"/>
          <w:lang w:val="en-US" w:eastAsia="zh-CN"/>
        </w:rPr>
        <w:t>电力系统技术导则</w:t>
      </w:r>
    </w:p>
    <w:p>
      <w:pPr>
        <w:pStyle w:val="120"/>
        <w:widowControl/>
        <w:tabs>
          <w:tab w:val="center" w:pos="4201"/>
          <w:tab w:val="right" w:leader="dot" w:pos="9298"/>
        </w:tabs>
        <w:adjustRightInd/>
        <w:spacing w:line="240" w:lineRule="auto"/>
        <w:ind w:firstLine="420"/>
        <w:jc w:val="both"/>
        <w:textAlignment w:val="auto"/>
        <w:rPr>
          <w:rFonts w:hint="default" w:ascii="宋体" w:hAnsi="Times New Roman" w:eastAsia="宋体" w:cs="Times New Roman"/>
          <w:lang w:val="en-US" w:eastAsia="zh-CN"/>
        </w:rPr>
      </w:pPr>
      <w:r>
        <w:rPr>
          <w:rFonts w:hint="eastAsia" w:ascii="宋体" w:hAnsi="Times New Roman" w:eastAsia="宋体" w:cs="Times New Roman"/>
          <w:lang w:val="en-US" w:eastAsia="zh-CN"/>
        </w:rPr>
        <w:t xml:space="preserve">DL/T 572 </w:t>
      </w:r>
      <w:r>
        <w:rPr>
          <w:rFonts w:hint="eastAsia" w:cs="Times New Roman"/>
          <w:lang w:val="en-US" w:eastAsia="zh-CN"/>
        </w:rPr>
        <w:t xml:space="preserve"> </w:t>
      </w:r>
      <w:r>
        <w:rPr>
          <w:rFonts w:hint="eastAsia" w:ascii="宋体" w:hAnsi="Times New Roman" w:eastAsia="宋体" w:cs="Times New Roman"/>
          <w:lang w:val="en-US" w:eastAsia="zh-CN"/>
        </w:rPr>
        <w:t>电力变压器运行规程</w:t>
      </w:r>
    </w:p>
    <w:p>
      <w:pPr>
        <w:pStyle w:val="120"/>
        <w:widowControl/>
        <w:tabs>
          <w:tab w:val="center" w:pos="4201"/>
          <w:tab w:val="right" w:leader="dot" w:pos="9298"/>
        </w:tabs>
        <w:adjustRightInd/>
        <w:spacing w:line="240" w:lineRule="auto"/>
        <w:ind w:firstLine="420"/>
        <w:jc w:val="both"/>
        <w:textAlignment w:val="auto"/>
        <w:rPr>
          <w:rFonts w:hint="eastAsia" w:eastAsia="宋体"/>
          <w:lang w:val="en-US" w:eastAsia="zh-CN"/>
        </w:rPr>
      </w:pPr>
      <w:r>
        <w:rPr>
          <w:rFonts w:hint="eastAsia"/>
        </w:rPr>
        <w:t>DL/T 5554</w:t>
      </w:r>
      <w:r>
        <w:rPr>
          <w:rFonts w:hint="eastAsia"/>
          <w:lang w:val="en-US" w:eastAsia="zh-CN"/>
        </w:rPr>
        <w:t xml:space="preserve">  电力系统无功补偿及调压设计技术导则</w:t>
      </w:r>
    </w:p>
    <w:bookmarkEnd w:id="84"/>
    <w:bookmarkEnd w:id="85"/>
    <w:bookmarkEnd w:id="86"/>
    <w:p>
      <w:pPr>
        <w:pStyle w:val="119"/>
        <w:widowControl/>
        <w:numPr>
          <w:ilvl w:val="0"/>
          <w:numId w:val="22"/>
        </w:numPr>
        <w:adjustRightInd/>
        <w:spacing w:before="312" w:beforeLines="100" w:after="312" w:afterLines="100" w:line="240" w:lineRule="auto"/>
        <w:jc w:val="both"/>
        <w:textAlignment w:val="auto"/>
        <w:outlineLvl w:val="0"/>
        <w:rPr>
          <w:rFonts w:hint="eastAsia"/>
        </w:rPr>
      </w:pPr>
      <w:bookmarkStart w:id="88" w:name="_Toc193181847"/>
      <w:bookmarkEnd w:id="88"/>
      <w:bookmarkStart w:id="89" w:name="_Toc193182075"/>
      <w:bookmarkEnd w:id="89"/>
      <w:bookmarkStart w:id="90" w:name="_Toc193181748"/>
      <w:bookmarkEnd w:id="90"/>
      <w:bookmarkStart w:id="91" w:name="_Toc193181749"/>
      <w:bookmarkEnd w:id="91"/>
      <w:bookmarkStart w:id="92" w:name="_Toc193182072"/>
      <w:bookmarkEnd w:id="92"/>
      <w:bookmarkStart w:id="93" w:name="_Toc193181883"/>
      <w:bookmarkEnd w:id="93"/>
      <w:bookmarkStart w:id="94" w:name="_Toc193181747"/>
      <w:bookmarkEnd w:id="94"/>
      <w:bookmarkStart w:id="95" w:name="_Toc193182074"/>
      <w:bookmarkEnd w:id="95"/>
      <w:bookmarkStart w:id="96" w:name="_Toc193181818"/>
      <w:bookmarkEnd w:id="96"/>
      <w:bookmarkStart w:id="97" w:name="_Toc193181820"/>
      <w:bookmarkEnd w:id="97"/>
      <w:bookmarkStart w:id="98" w:name="_Toc193181849"/>
      <w:bookmarkEnd w:id="98"/>
      <w:bookmarkStart w:id="99" w:name="_Toc193181746"/>
      <w:bookmarkEnd w:id="99"/>
      <w:bookmarkStart w:id="100" w:name="_Toc193181885"/>
      <w:bookmarkEnd w:id="100"/>
      <w:bookmarkStart w:id="101" w:name="_Toc198304718"/>
      <w:bookmarkEnd w:id="101"/>
      <w:bookmarkStart w:id="102" w:name="_Toc193181850"/>
      <w:bookmarkEnd w:id="102"/>
      <w:bookmarkStart w:id="103" w:name="_Toc193182073"/>
      <w:bookmarkEnd w:id="103"/>
      <w:bookmarkStart w:id="104" w:name="_Toc193181817"/>
      <w:bookmarkEnd w:id="104"/>
      <w:bookmarkStart w:id="105" w:name="_Toc193181819"/>
      <w:bookmarkEnd w:id="105"/>
      <w:bookmarkStart w:id="106" w:name="_Toc193181886"/>
      <w:bookmarkEnd w:id="106"/>
      <w:bookmarkStart w:id="107" w:name="_Toc193181884"/>
      <w:bookmarkEnd w:id="107"/>
      <w:bookmarkStart w:id="108" w:name="_Toc193181848"/>
      <w:bookmarkEnd w:id="108"/>
      <w:bookmarkStart w:id="109" w:name="_Toc9631"/>
      <w:bookmarkStart w:id="110" w:name="_Toc16754"/>
      <w:bookmarkStart w:id="111" w:name="_Toc16430"/>
      <w:bookmarkStart w:id="112" w:name="_Toc6318"/>
      <w:bookmarkStart w:id="113" w:name="_Toc12098"/>
      <w:bookmarkStart w:id="114" w:name="_Toc163458491"/>
      <w:bookmarkStart w:id="115" w:name="_Toc164088682"/>
      <w:bookmarkStart w:id="116" w:name="_Toc276130875"/>
      <w:bookmarkStart w:id="117" w:name="_Toc16071"/>
      <w:bookmarkStart w:id="118" w:name="_Toc13437"/>
      <w:bookmarkStart w:id="119" w:name="_Toc161998130"/>
      <w:bookmarkStart w:id="120" w:name="_Toc15654"/>
      <w:r>
        <w:rPr>
          <w:rFonts w:hint="eastAsia"/>
        </w:rPr>
        <w:t>术语和定义</w:t>
      </w:r>
      <w:bookmarkEnd w:id="87"/>
      <w:bookmarkEnd w:id="109"/>
      <w:bookmarkEnd w:id="110"/>
      <w:bookmarkEnd w:id="111"/>
      <w:bookmarkEnd w:id="112"/>
      <w:bookmarkEnd w:id="113"/>
      <w:bookmarkEnd w:id="114"/>
      <w:bookmarkEnd w:id="115"/>
      <w:bookmarkEnd w:id="116"/>
      <w:bookmarkEnd w:id="117"/>
      <w:bookmarkEnd w:id="118"/>
      <w:bookmarkEnd w:id="119"/>
      <w:bookmarkEnd w:id="120"/>
    </w:p>
    <w:p>
      <w:pPr>
        <w:pStyle w:val="120"/>
        <w:widowControl/>
        <w:tabs>
          <w:tab w:val="center" w:pos="4201"/>
          <w:tab w:val="right" w:leader="dot" w:pos="9298"/>
        </w:tabs>
        <w:adjustRightInd/>
        <w:spacing w:line="240" w:lineRule="auto"/>
        <w:ind w:firstLine="420"/>
        <w:jc w:val="both"/>
        <w:textAlignment w:val="auto"/>
      </w:pPr>
      <w:r>
        <w:rPr>
          <w:rFonts w:hint="eastAsia"/>
          <w:lang w:val="en-US" w:eastAsia="zh-CN"/>
        </w:rPr>
        <w:t>下列</w:t>
      </w:r>
      <w:r>
        <w:rPr>
          <w:rFonts w:hint="eastAsia"/>
        </w:rPr>
        <w:t>术语和定义适用于本文件。</w:t>
      </w:r>
    </w:p>
    <w:p>
      <w:pPr>
        <w:pStyle w:val="173"/>
        <w:widowControl/>
        <w:numPr>
          <w:ilvl w:val="1"/>
          <w:numId w:val="22"/>
        </w:numPr>
        <w:adjustRightInd/>
        <w:spacing w:line="240" w:lineRule="auto"/>
        <w:jc w:val="both"/>
        <w:textAlignment w:val="auto"/>
        <w:outlineLvl w:val="1"/>
        <w:rPr>
          <w:rFonts w:hint="eastAsia" w:ascii="宋体" w:hAnsi="宋体" w:eastAsia="宋体" w:cs="Times New Roman"/>
          <w:szCs w:val="21"/>
        </w:rPr>
      </w:pPr>
    </w:p>
    <w:p>
      <w:pPr>
        <w:pStyle w:val="120"/>
        <w:widowControl/>
        <w:tabs>
          <w:tab w:val="center" w:pos="4201"/>
          <w:tab w:val="right" w:leader="dot" w:pos="9298"/>
        </w:tabs>
        <w:adjustRightInd/>
        <w:spacing w:line="240" w:lineRule="auto"/>
        <w:ind w:firstLine="420"/>
        <w:jc w:val="both"/>
        <w:textAlignment w:val="auto"/>
        <w:rPr>
          <w:rFonts w:hint="default" w:ascii="黑体" w:hAnsi="黑体" w:eastAsia="黑体" w:cs="黑体"/>
          <w:lang w:val="en-US" w:eastAsia="zh-CN"/>
        </w:rPr>
      </w:pPr>
      <w:r>
        <w:rPr>
          <w:rFonts w:hint="eastAsia" w:ascii="黑体" w:hAnsi="黑体" w:eastAsia="黑体" w:cs="黑体"/>
        </w:rPr>
        <w:t xml:space="preserve">分布式电源  distributed </w:t>
      </w:r>
      <w:r>
        <w:rPr>
          <w:rFonts w:hint="eastAsia" w:ascii="黑体" w:hAnsi="黑体" w:eastAsia="黑体" w:cs="黑体"/>
          <w:highlight w:val="none"/>
          <w:lang w:eastAsia="zh-CN"/>
        </w:rPr>
        <w:t>r</w:t>
      </w:r>
      <w:r>
        <w:rPr>
          <w:rFonts w:hint="eastAsia" w:ascii="黑体" w:hAnsi="黑体" w:eastAsia="黑体" w:cs="黑体"/>
          <w:highlight w:val="none"/>
          <w:lang w:val="en-US" w:eastAsia="zh-CN"/>
        </w:rPr>
        <w:t>esources</w:t>
      </w:r>
    </w:p>
    <w:p>
      <w:pPr>
        <w:pStyle w:val="120"/>
        <w:widowControl/>
        <w:tabs>
          <w:tab w:val="center" w:pos="4201"/>
          <w:tab w:val="right" w:leader="dot" w:pos="9298"/>
        </w:tabs>
        <w:adjustRightInd/>
        <w:spacing w:line="240" w:lineRule="auto"/>
        <w:ind w:firstLine="420"/>
        <w:jc w:val="both"/>
        <w:textAlignment w:val="auto"/>
        <w:rPr>
          <w:rFonts w:hint="default"/>
          <w:lang w:val="en-US" w:eastAsia="zh-CN"/>
        </w:rPr>
      </w:pPr>
      <w:r>
        <w:rPr>
          <w:rFonts w:hint="eastAsia"/>
          <w:lang w:val="en-US" w:eastAsia="zh-CN"/>
        </w:rPr>
        <w:t>在用户附近建设，以就地消纳为主，一般接入35kV及以下电压等级的电源，包括同步发电机、异步发电机、变流器等类型电源。与公共电网连接点电压等级为110kV（66kV）、总装机容量原则上不超过50MW的大型工商业分布式光伏适用本标准。</w:t>
      </w:r>
    </w:p>
    <w:p>
      <w:pPr>
        <w:pStyle w:val="120"/>
        <w:widowControl/>
        <w:tabs>
          <w:tab w:val="center" w:pos="4201"/>
          <w:tab w:val="right" w:leader="dot" w:pos="9298"/>
        </w:tabs>
        <w:adjustRightInd/>
        <w:spacing w:line="240" w:lineRule="auto"/>
        <w:ind w:firstLine="420"/>
        <w:jc w:val="both"/>
        <w:textAlignment w:val="auto"/>
        <w:rPr>
          <w:rFonts w:hint="eastAsia"/>
          <w:lang w:val="en-US" w:eastAsia="zh-CN"/>
        </w:rPr>
      </w:pPr>
      <w:r>
        <w:rPr>
          <w:rFonts w:hint="eastAsia"/>
        </w:rPr>
        <w:t>[来源：GB/T 33593—2017，3.1</w:t>
      </w:r>
      <w:r>
        <w:rPr>
          <w:rFonts w:hint="eastAsia"/>
          <w:lang w:eastAsia="zh-CN"/>
        </w:rPr>
        <w:t>，</w:t>
      </w:r>
      <w:r>
        <w:rPr>
          <w:rFonts w:hint="eastAsia"/>
          <w:lang w:val="en-US" w:eastAsia="zh-CN"/>
        </w:rPr>
        <w:t>有修改</w:t>
      </w:r>
      <w:r>
        <w:rPr>
          <w:rFonts w:hint="eastAsia"/>
        </w:rPr>
        <w:t>]</w:t>
      </w:r>
    </w:p>
    <w:p>
      <w:pPr>
        <w:pStyle w:val="173"/>
        <w:widowControl/>
        <w:numPr>
          <w:ilvl w:val="1"/>
          <w:numId w:val="22"/>
        </w:numPr>
        <w:adjustRightInd/>
        <w:spacing w:line="240" w:lineRule="auto"/>
        <w:jc w:val="both"/>
        <w:textAlignment w:val="auto"/>
        <w:outlineLvl w:val="1"/>
        <w:rPr>
          <w:rFonts w:hint="eastAsia" w:ascii="宋体" w:hAnsi="宋体" w:eastAsia="宋体" w:cs="Times New Roman"/>
          <w:szCs w:val="21"/>
        </w:rPr>
      </w:pPr>
    </w:p>
    <w:p>
      <w:pPr>
        <w:pStyle w:val="120"/>
        <w:widowControl/>
        <w:tabs>
          <w:tab w:val="center" w:pos="4201"/>
          <w:tab w:val="right" w:leader="dot" w:pos="9298"/>
        </w:tabs>
        <w:adjustRightInd/>
        <w:spacing w:line="240" w:lineRule="auto"/>
        <w:ind w:firstLine="420"/>
        <w:jc w:val="both"/>
        <w:textAlignment w:val="auto"/>
        <w:rPr>
          <w:rFonts w:hint="eastAsia" w:ascii="黑体" w:hAnsi="黑体" w:eastAsia="黑体" w:cs="黑体"/>
        </w:rPr>
      </w:pPr>
      <w:r>
        <w:rPr>
          <w:rFonts w:hint="eastAsia" w:ascii="黑体" w:hAnsi="黑体" w:eastAsia="黑体" w:cs="黑体"/>
        </w:rPr>
        <w:t>分布式电源承载力  hosting capacity of distributed resources</w:t>
      </w:r>
    </w:p>
    <w:p>
      <w:pPr>
        <w:pStyle w:val="120"/>
        <w:widowControl/>
        <w:tabs>
          <w:tab w:val="center" w:pos="4201"/>
          <w:tab w:val="right" w:leader="dot" w:pos="9298"/>
        </w:tabs>
        <w:adjustRightInd/>
        <w:spacing w:line="240" w:lineRule="auto"/>
        <w:ind w:firstLine="420"/>
        <w:jc w:val="both"/>
        <w:textAlignment w:val="auto"/>
        <w:rPr>
          <w:rFonts w:hint="eastAsia"/>
        </w:rPr>
      </w:pPr>
      <w:r>
        <w:rPr>
          <w:rFonts w:hint="eastAsia"/>
        </w:rPr>
        <w:t>在满足电网运行安全和电能质量等条件下，统筹考虑负荷水平、新能源利用率、</w:t>
      </w:r>
      <w:r>
        <w:rPr>
          <w:rFonts w:hint="eastAsia"/>
          <w:lang w:val="en-US" w:eastAsia="zh-CN"/>
        </w:rPr>
        <w:t>灵活调节资源</w:t>
      </w:r>
      <w:r>
        <w:rPr>
          <w:rFonts w:hint="eastAsia"/>
        </w:rPr>
        <w:t>等因素，</w:t>
      </w:r>
      <w:r>
        <w:rPr>
          <w:rFonts w:hint="eastAsia"/>
          <w:lang w:val="en-US" w:eastAsia="zh-CN"/>
        </w:rPr>
        <w:t>电力系统</w:t>
      </w:r>
      <w:r>
        <w:rPr>
          <w:rFonts w:hint="eastAsia"/>
        </w:rPr>
        <w:t>可接入分布式电源的最大装机容量，分为系统级承载力和设备级承载力。系统级承载力指某一行政区或电力调度独立控制区域内可接入分布式电源的最大装机容量。设备级承载力指220（330）kV及以下变（配）电设备供电范围内可接入分布式电源的最大装机容量。</w:t>
      </w:r>
    </w:p>
    <w:p>
      <w:pPr>
        <w:pStyle w:val="173"/>
        <w:widowControl/>
        <w:numPr>
          <w:ilvl w:val="1"/>
          <w:numId w:val="22"/>
        </w:numPr>
        <w:adjustRightInd/>
        <w:spacing w:line="240" w:lineRule="auto"/>
        <w:jc w:val="both"/>
        <w:textAlignment w:val="auto"/>
        <w:outlineLvl w:val="1"/>
        <w:rPr>
          <w:rFonts w:hint="eastAsia" w:ascii="宋体" w:hAnsi="宋体" w:eastAsia="宋体" w:cs="Times New Roman"/>
          <w:szCs w:val="21"/>
        </w:rPr>
      </w:pPr>
    </w:p>
    <w:p>
      <w:pPr>
        <w:pStyle w:val="120"/>
        <w:widowControl/>
        <w:tabs>
          <w:tab w:val="center" w:pos="4201"/>
          <w:tab w:val="right" w:leader="dot" w:pos="9298"/>
        </w:tabs>
        <w:adjustRightInd/>
        <w:spacing w:line="240" w:lineRule="auto"/>
        <w:ind w:firstLine="420"/>
        <w:jc w:val="both"/>
        <w:textAlignment w:val="auto"/>
        <w:rPr>
          <w:rFonts w:hint="eastAsia" w:ascii="黑体" w:hAnsi="黑体" w:eastAsia="黑体" w:cs="黑体"/>
          <w:lang w:val="en-US" w:eastAsia="zh-CN"/>
        </w:rPr>
      </w:pPr>
      <w:r>
        <w:rPr>
          <w:rFonts w:hint="eastAsia" w:ascii="黑体" w:hAnsi="黑体" w:eastAsia="黑体" w:cs="黑体"/>
          <w:lang w:val="en-US" w:eastAsia="zh-CN"/>
        </w:rPr>
        <w:t>新能源利用率  utilization rate of new energy</w:t>
      </w:r>
    </w:p>
    <w:p>
      <w:pPr>
        <w:pStyle w:val="120"/>
        <w:widowControl/>
        <w:tabs>
          <w:tab w:val="center" w:pos="4201"/>
          <w:tab w:val="right" w:leader="dot" w:pos="9298"/>
        </w:tabs>
        <w:adjustRightInd/>
        <w:spacing w:line="240" w:lineRule="auto"/>
        <w:ind w:firstLine="420"/>
        <w:jc w:val="both"/>
        <w:textAlignment w:val="auto"/>
        <w:rPr>
          <w:rFonts w:hint="eastAsia"/>
        </w:rPr>
      </w:pPr>
      <w:r>
        <w:rPr>
          <w:rFonts w:hint="eastAsia"/>
        </w:rPr>
        <w:t>新能源实际发电量与可用发电量的比值。</w:t>
      </w:r>
      <w:r>
        <w:rPr>
          <w:rFonts w:hint="eastAsia"/>
          <w:lang w:eastAsia="zh-CN"/>
        </w:rPr>
        <w:t>新能源利用率按考虑全部原因受限电量计算。</w:t>
      </w:r>
    </w:p>
    <w:p>
      <w:pPr>
        <w:pStyle w:val="173"/>
        <w:widowControl/>
        <w:numPr>
          <w:ilvl w:val="1"/>
          <w:numId w:val="22"/>
        </w:numPr>
        <w:adjustRightInd/>
        <w:spacing w:line="240" w:lineRule="auto"/>
        <w:jc w:val="both"/>
        <w:textAlignment w:val="auto"/>
        <w:outlineLvl w:val="1"/>
        <w:rPr>
          <w:rFonts w:hint="eastAsia" w:ascii="宋体" w:hAnsi="宋体" w:eastAsia="宋体" w:cs="Times New Roman"/>
          <w:szCs w:val="21"/>
        </w:rPr>
      </w:pPr>
    </w:p>
    <w:p>
      <w:pPr>
        <w:pStyle w:val="120"/>
        <w:widowControl/>
        <w:tabs>
          <w:tab w:val="center" w:pos="4201"/>
          <w:tab w:val="right" w:leader="dot" w:pos="9298"/>
        </w:tabs>
        <w:adjustRightInd/>
        <w:spacing w:line="240" w:lineRule="auto"/>
        <w:ind w:firstLine="420"/>
        <w:jc w:val="both"/>
        <w:textAlignment w:val="auto"/>
        <w:rPr>
          <w:rFonts w:hint="eastAsia" w:ascii="黑体" w:hAnsi="黑体" w:eastAsia="黑体" w:cs="黑体"/>
        </w:rPr>
      </w:pPr>
      <w:r>
        <w:rPr>
          <w:rFonts w:hint="eastAsia" w:ascii="黑体" w:hAnsi="黑体" w:eastAsia="黑体" w:cs="黑体"/>
          <w:lang w:val="en-US" w:eastAsia="zh-CN"/>
        </w:rPr>
        <w:t>分布式电源</w:t>
      </w:r>
      <w:r>
        <w:rPr>
          <w:rFonts w:hint="eastAsia" w:ascii="黑体" w:hAnsi="黑体" w:eastAsia="黑体" w:cs="黑体"/>
        </w:rPr>
        <w:t>可开放容量  accessible capacity</w:t>
      </w:r>
      <w:r>
        <w:rPr>
          <w:rFonts w:hint="eastAsia" w:ascii="黑体" w:hAnsi="黑体" w:eastAsia="黑体" w:cs="黑体"/>
          <w:lang w:val="en-US" w:eastAsia="zh-CN"/>
        </w:rPr>
        <w:t xml:space="preserve"> </w:t>
      </w:r>
      <w:r>
        <w:rPr>
          <w:rFonts w:hint="eastAsia" w:ascii="黑体" w:hAnsi="黑体" w:eastAsia="黑体" w:cs="黑体"/>
        </w:rPr>
        <w:t>of distributed resources</w:t>
      </w:r>
    </w:p>
    <w:p>
      <w:pPr>
        <w:pStyle w:val="120"/>
        <w:widowControl/>
        <w:tabs>
          <w:tab w:val="center" w:pos="4201"/>
          <w:tab w:val="right" w:leader="dot" w:pos="9298"/>
        </w:tabs>
        <w:adjustRightInd/>
        <w:spacing w:line="240" w:lineRule="auto"/>
        <w:ind w:firstLine="420"/>
        <w:jc w:val="both"/>
        <w:textAlignment w:val="auto"/>
        <w:rPr>
          <w:rFonts w:hint="eastAsia"/>
        </w:rPr>
      </w:pPr>
      <w:r>
        <w:rPr>
          <w:rFonts w:hint="eastAsia"/>
        </w:rPr>
        <w:t>除</w:t>
      </w:r>
      <w:r>
        <w:rPr>
          <w:rFonts w:hint="eastAsia"/>
          <w:lang w:val="en-US" w:eastAsia="zh-CN"/>
        </w:rPr>
        <w:t>已并网和</w:t>
      </w:r>
      <w:r>
        <w:rPr>
          <w:rFonts w:hint="eastAsia"/>
        </w:rPr>
        <w:t>已备案的分布式电源外，</w:t>
      </w:r>
      <w:r>
        <w:rPr>
          <w:rFonts w:hint="eastAsia"/>
          <w:lang w:val="en-US" w:eastAsia="zh-CN"/>
        </w:rPr>
        <w:t>电力系统</w:t>
      </w:r>
      <w:r>
        <w:rPr>
          <w:rFonts w:hint="eastAsia"/>
        </w:rPr>
        <w:t>可新增接入的分布式电源装机容量。</w:t>
      </w:r>
    </w:p>
    <w:p>
      <w:pPr>
        <w:pStyle w:val="173"/>
        <w:widowControl/>
        <w:numPr>
          <w:ilvl w:val="1"/>
          <w:numId w:val="22"/>
        </w:numPr>
        <w:adjustRightInd/>
        <w:spacing w:line="240" w:lineRule="auto"/>
        <w:jc w:val="both"/>
        <w:textAlignment w:val="auto"/>
        <w:outlineLvl w:val="1"/>
        <w:rPr>
          <w:rFonts w:hint="eastAsia" w:ascii="宋体" w:hAnsi="宋体" w:eastAsia="宋体" w:cs="Times New Roman"/>
          <w:szCs w:val="21"/>
        </w:rPr>
      </w:pPr>
    </w:p>
    <w:p>
      <w:pPr>
        <w:pStyle w:val="120"/>
        <w:widowControl/>
        <w:tabs>
          <w:tab w:val="center" w:pos="4201"/>
          <w:tab w:val="right" w:leader="dot" w:pos="9298"/>
        </w:tabs>
        <w:adjustRightInd/>
        <w:spacing w:line="240" w:lineRule="auto"/>
        <w:ind w:firstLine="420"/>
        <w:jc w:val="both"/>
        <w:textAlignment w:val="auto"/>
        <w:rPr>
          <w:rFonts w:hint="eastAsia" w:ascii="黑体" w:hAnsi="黑体" w:eastAsia="黑体" w:cs="黑体"/>
          <w:lang w:val="en-US" w:eastAsia="zh-CN"/>
        </w:rPr>
      </w:pPr>
      <w:r>
        <w:rPr>
          <w:rFonts w:hint="eastAsia" w:ascii="黑体" w:hAnsi="黑体" w:eastAsia="黑体" w:cs="黑体"/>
          <w:lang w:val="en-US" w:eastAsia="zh-CN"/>
        </w:rPr>
        <w:t>反向负载率 reverse load rate</w:t>
      </w:r>
    </w:p>
    <w:p>
      <w:pPr>
        <w:pStyle w:val="120"/>
        <w:widowControl/>
        <w:tabs>
          <w:tab w:val="center" w:pos="4201"/>
          <w:tab w:val="right" w:leader="dot" w:pos="9298"/>
        </w:tabs>
        <w:adjustRightInd/>
        <w:spacing w:line="240" w:lineRule="auto"/>
        <w:ind w:firstLine="420"/>
        <w:jc w:val="both"/>
        <w:textAlignment w:val="auto"/>
        <w:rPr>
          <w:rFonts w:hint="eastAsia" w:eastAsia="宋体"/>
          <w:lang w:eastAsia="zh-CN"/>
        </w:rPr>
      </w:pPr>
      <w:r>
        <w:rPr>
          <w:rFonts w:hint="eastAsia"/>
        </w:rPr>
        <w:t>流经</w:t>
      </w:r>
      <w:r>
        <w:rPr>
          <w:rFonts w:hint="eastAsia"/>
          <w:lang w:val="en-US" w:eastAsia="zh-CN"/>
        </w:rPr>
        <w:t>变压器</w:t>
      </w:r>
      <w:r>
        <w:rPr>
          <w:rFonts w:hint="eastAsia"/>
        </w:rPr>
        <w:t>的反向输送功率与额定容量</w:t>
      </w:r>
      <w:r>
        <w:rPr>
          <w:rFonts w:hint="eastAsia"/>
          <w:lang w:eastAsia="zh-CN"/>
        </w:rPr>
        <w:t>的</w:t>
      </w:r>
      <w:r>
        <w:rPr>
          <w:rFonts w:hint="eastAsia"/>
        </w:rPr>
        <w:t>比值。输送功率从低电压等级流向高电压等级时为反向</w:t>
      </w:r>
      <w:r>
        <w:rPr>
          <w:rFonts w:hint="eastAsia"/>
          <w:lang w:eastAsia="zh-CN"/>
        </w:rPr>
        <w:t>；</w:t>
      </w:r>
      <w:r>
        <w:rPr>
          <w:rFonts w:hint="eastAsia"/>
        </w:rPr>
        <w:t>输送功率从高电压等级流向低电压等级时为正向</w:t>
      </w:r>
      <w:r>
        <w:rPr>
          <w:rFonts w:hint="eastAsia"/>
          <w:lang w:eastAsia="zh-CN"/>
        </w:rPr>
        <w:t>。</w:t>
      </w:r>
    </w:p>
    <w:p>
      <w:pPr>
        <w:pStyle w:val="173"/>
        <w:widowControl/>
        <w:numPr>
          <w:ilvl w:val="1"/>
          <w:numId w:val="22"/>
        </w:numPr>
        <w:adjustRightInd/>
        <w:spacing w:line="240" w:lineRule="auto"/>
        <w:jc w:val="both"/>
        <w:textAlignment w:val="auto"/>
        <w:outlineLvl w:val="1"/>
        <w:rPr>
          <w:rFonts w:hint="eastAsia" w:ascii="宋体" w:hAnsi="宋体" w:eastAsia="宋体" w:cs="Times New Roman"/>
          <w:szCs w:val="21"/>
        </w:rPr>
      </w:pPr>
    </w:p>
    <w:p>
      <w:pPr>
        <w:pStyle w:val="120"/>
        <w:widowControl/>
        <w:tabs>
          <w:tab w:val="center" w:pos="4201"/>
          <w:tab w:val="right" w:leader="dot" w:pos="9298"/>
        </w:tabs>
        <w:adjustRightInd/>
        <w:spacing w:line="240" w:lineRule="auto"/>
        <w:ind w:firstLine="420"/>
        <w:jc w:val="both"/>
        <w:textAlignment w:val="auto"/>
        <w:rPr>
          <w:rFonts w:hint="eastAsia" w:ascii="黑体" w:hAnsi="黑体" w:eastAsia="黑体" w:cs="黑体"/>
          <w:lang w:val="en-US" w:eastAsia="zh-CN"/>
        </w:rPr>
      </w:pPr>
      <w:r>
        <w:rPr>
          <w:rFonts w:hint="eastAsia" w:ascii="黑体" w:hAnsi="黑体" w:eastAsia="黑体" w:cs="黑体"/>
          <w:lang w:val="en-US" w:eastAsia="zh-CN"/>
        </w:rPr>
        <w:t xml:space="preserve">分布式电源最大出力系数  maximum output coefficient of distributed resources </w:t>
      </w:r>
    </w:p>
    <w:p>
      <w:pPr>
        <w:pStyle w:val="120"/>
        <w:widowControl/>
        <w:tabs>
          <w:tab w:val="center" w:pos="4201"/>
          <w:tab w:val="right" w:leader="dot" w:pos="9298"/>
        </w:tabs>
        <w:adjustRightInd/>
        <w:spacing w:line="240" w:lineRule="auto"/>
        <w:ind w:firstLine="420"/>
        <w:jc w:val="both"/>
        <w:textAlignment w:val="auto"/>
        <w:rPr>
          <w:rFonts w:hint="eastAsia"/>
        </w:rPr>
      </w:pPr>
      <w:r>
        <w:rPr>
          <w:rFonts w:hint="eastAsia" w:cs="Times New Roman"/>
          <w:lang w:val="en-US" w:eastAsia="zh-CN"/>
        </w:rPr>
        <w:t>某一范围内</w:t>
      </w:r>
      <w:r>
        <w:rPr>
          <w:rFonts w:hint="eastAsia" w:ascii="宋体" w:hAnsi="Times New Roman" w:eastAsia="宋体" w:cs="Times New Roman"/>
          <w:lang w:val="en-US" w:eastAsia="zh-CN"/>
        </w:rPr>
        <w:t>分布式电源最大输出功率</w:t>
      </w:r>
      <w:r>
        <w:rPr>
          <w:rFonts w:hint="eastAsia" w:cs="Times New Roman"/>
          <w:lang w:val="en-US" w:eastAsia="zh-CN"/>
        </w:rPr>
        <w:t>之和</w:t>
      </w:r>
      <w:r>
        <w:rPr>
          <w:rFonts w:hint="eastAsia" w:ascii="宋体" w:hAnsi="Times New Roman" w:eastAsia="宋体" w:cs="Times New Roman"/>
          <w:lang w:val="en-US" w:eastAsia="zh-CN"/>
        </w:rPr>
        <w:t>与额定输出功率</w:t>
      </w:r>
      <w:r>
        <w:rPr>
          <w:rFonts w:hint="eastAsia" w:cs="Times New Roman"/>
          <w:lang w:val="en-US" w:eastAsia="zh-CN"/>
        </w:rPr>
        <w:t>之和</w:t>
      </w:r>
      <w:r>
        <w:rPr>
          <w:rFonts w:hint="eastAsia" w:ascii="宋体" w:hAnsi="Times New Roman" w:eastAsia="宋体" w:cs="Times New Roman"/>
          <w:lang w:val="en-US" w:eastAsia="zh-CN"/>
        </w:rPr>
        <w:t>的比值。</w:t>
      </w:r>
    </w:p>
    <w:p>
      <w:pPr>
        <w:pStyle w:val="119"/>
        <w:widowControl/>
        <w:numPr>
          <w:ilvl w:val="0"/>
          <w:numId w:val="22"/>
        </w:numPr>
        <w:tabs>
          <w:tab w:val="left" w:pos="2696"/>
          <w:tab w:val="clear" w:pos="0"/>
        </w:tabs>
        <w:adjustRightInd/>
        <w:spacing w:before="312" w:beforeLines="100" w:after="312" w:afterLines="100" w:line="240" w:lineRule="auto"/>
        <w:textAlignment w:val="auto"/>
        <w:outlineLvl w:val="0"/>
        <w:rPr>
          <w:rFonts w:hint="eastAsia"/>
        </w:rPr>
      </w:pPr>
      <w:bookmarkStart w:id="121" w:name="_Toc193181757"/>
      <w:bookmarkEnd w:id="121"/>
      <w:bookmarkStart w:id="122" w:name="_Toc193182086"/>
      <w:bookmarkEnd w:id="122"/>
      <w:bookmarkStart w:id="123" w:name="_Toc193181897"/>
      <w:bookmarkEnd w:id="123"/>
      <w:bookmarkStart w:id="124" w:name="_Toc193181754"/>
      <w:bookmarkEnd w:id="124"/>
      <w:bookmarkStart w:id="125" w:name="_Toc193181890"/>
      <w:bookmarkEnd w:id="125"/>
      <w:bookmarkStart w:id="126" w:name="_Toc193181761"/>
      <w:bookmarkEnd w:id="126"/>
      <w:bookmarkStart w:id="127" w:name="_Toc193181824"/>
      <w:bookmarkEnd w:id="127"/>
      <w:bookmarkStart w:id="128" w:name="_Toc193181857"/>
      <w:bookmarkEnd w:id="128"/>
      <w:bookmarkStart w:id="129" w:name="_Toc193181827"/>
      <w:bookmarkEnd w:id="129"/>
      <w:bookmarkStart w:id="130" w:name="_Toc193181831"/>
      <w:bookmarkEnd w:id="130"/>
      <w:bookmarkStart w:id="131" w:name="_Toc193182082"/>
      <w:bookmarkEnd w:id="131"/>
      <w:bookmarkStart w:id="132" w:name="_Toc193181861"/>
      <w:bookmarkEnd w:id="132"/>
      <w:bookmarkStart w:id="133" w:name="_Toc193181854"/>
      <w:bookmarkEnd w:id="133"/>
      <w:bookmarkStart w:id="134" w:name="_Toc193182079"/>
      <w:bookmarkEnd w:id="134"/>
      <w:bookmarkStart w:id="135" w:name="_Toc193181893"/>
      <w:bookmarkEnd w:id="135"/>
      <w:bookmarkStart w:id="136" w:name="_Toc14536"/>
      <w:bookmarkStart w:id="137" w:name="_Toc25544"/>
      <w:bookmarkStart w:id="138" w:name="_Toc1538"/>
      <w:bookmarkStart w:id="139" w:name="_Toc10261"/>
      <w:r>
        <w:rPr>
          <w:rFonts w:hint="eastAsia"/>
        </w:rPr>
        <w:t>总体要求</w:t>
      </w:r>
      <w:bookmarkEnd w:id="136"/>
      <w:bookmarkEnd w:id="137"/>
      <w:bookmarkEnd w:id="138"/>
      <w:bookmarkEnd w:id="139"/>
      <w:bookmarkStart w:id="140" w:name="_Toc163458497"/>
      <w:bookmarkStart w:id="141" w:name="_Toc276130876"/>
      <w:bookmarkStart w:id="142" w:name="_Toc275857037"/>
      <w:bookmarkStart w:id="143" w:name="_Toc25986"/>
    </w:p>
    <w:p>
      <w:pPr>
        <w:pStyle w:val="173"/>
        <w:widowControl/>
        <w:numPr>
          <w:ilvl w:val="1"/>
          <w:numId w:val="22"/>
        </w:numPr>
        <w:adjustRightInd/>
        <w:spacing w:line="240" w:lineRule="auto"/>
        <w:jc w:val="both"/>
        <w:textAlignment w:val="auto"/>
        <w:outlineLvl w:val="1"/>
        <w:rPr>
          <w:rFonts w:ascii="宋体" w:hAnsi="宋体" w:eastAsia="宋体"/>
          <w:szCs w:val="21"/>
        </w:rPr>
      </w:pPr>
      <w:r>
        <w:rPr>
          <w:rFonts w:hint="eastAsia" w:ascii="宋体" w:hAnsi="宋体" w:eastAsia="宋体"/>
          <w:szCs w:val="21"/>
        </w:rPr>
        <w:t>分布式电源承载力评估</w:t>
      </w:r>
      <w:r>
        <w:rPr>
          <w:rFonts w:hint="eastAsia" w:ascii="宋体" w:hAnsi="宋体" w:eastAsia="宋体"/>
          <w:szCs w:val="21"/>
          <w:lang w:val="en-US" w:eastAsia="zh-CN"/>
        </w:rPr>
        <w:t>应在全面收集电源、电网、用电负荷、灵活调节资源以及相关运行数据的基础上，计算系统级承载力和设备级承载力。</w:t>
      </w:r>
    </w:p>
    <w:p>
      <w:pPr>
        <w:pStyle w:val="173"/>
        <w:widowControl/>
        <w:numPr>
          <w:ilvl w:val="1"/>
          <w:numId w:val="22"/>
        </w:numPr>
        <w:adjustRightInd/>
        <w:spacing w:line="240" w:lineRule="auto"/>
        <w:jc w:val="both"/>
        <w:textAlignment w:val="auto"/>
        <w:outlineLvl w:val="1"/>
        <w:rPr>
          <w:rFonts w:ascii="宋体" w:hAnsi="宋体" w:eastAsia="宋体"/>
          <w:szCs w:val="21"/>
        </w:rPr>
      </w:pPr>
      <w:r>
        <w:rPr>
          <w:rFonts w:hint="eastAsia" w:ascii="宋体" w:hAnsi="宋体" w:eastAsia="宋体"/>
          <w:szCs w:val="21"/>
          <w:lang w:val="en-US" w:eastAsia="zh-CN"/>
        </w:rPr>
        <w:t>系统级承载力计算应在保证电力系统安全稳定运行条件下，通过时序生产模拟仿真计算，得到省级行政区或电力调度独立控制区域内承载力区间，并将计算结果分解至区域内的各县级行政区。</w:t>
      </w:r>
    </w:p>
    <w:p>
      <w:pPr>
        <w:pStyle w:val="173"/>
        <w:widowControl/>
        <w:numPr>
          <w:ilvl w:val="1"/>
          <w:numId w:val="22"/>
        </w:numPr>
        <w:adjustRightInd/>
        <w:spacing w:line="240" w:lineRule="auto"/>
        <w:jc w:val="both"/>
        <w:textAlignment w:val="auto"/>
        <w:outlineLvl w:val="1"/>
        <w:rPr>
          <w:rFonts w:ascii="宋体" w:hAnsi="宋体" w:eastAsia="宋体"/>
          <w:szCs w:val="21"/>
        </w:rPr>
      </w:pPr>
      <w:r>
        <w:rPr>
          <w:rFonts w:hint="eastAsia" w:ascii="宋体" w:hAnsi="宋体" w:eastAsia="宋体"/>
          <w:szCs w:val="21"/>
          <w:lang w:val="en-US" w:eastAsia="zh-CN"/>
        </w:rPr>
        <w:t>设备级承载力计算应在保证变压器反向负载率不越限条件下，计算得到220（330）kV及以下各电压等级变压器承载力区间。</w:t>
      </w:r>
    </w:p>
    <w:p>
      <w:pPr>
        <w:pStyle w:val="173"/>
        <w:widowControl/>
        <w:numPr>
          <w:ilvl w:val="1"/>
          <w:numId w:val="22"/>
        </w:numPr>
        <w:adjustRightInd/>
        <w:spacing w:line="240" w:lineRule="auto"/>
        <w:jc w:val="both"/>
        <w:textAlignment w:val="auto"/>
        <w:outlineLvl w:val="1"/>
        <w:rPr>
          <w:rFonts w:ascii="宋体" w:hAnsi="宋体" w:eastAsia="宋体"/>
          <w:szCs w:val="21"/>
        </w:rPr>
      </w:pPr>
      <w:r>
        <w:rPr>
          <w:rFonts w:hint="eastAsia" w:ascii="宋体" w:hAnsi="宋体" w:eastAsia="宋体"/>
          <w:szCs w:val="21"/>
          <w:lang w:val="en-US" w:eastAsia="zh-CN"/>
        </w:rPr>
        <w:t>承载力计算结果校核宜以县级行政区为单元，对系统级承载力与设备级承载力计算结果进行校核。</w:t>
      </w:r>
    </w:p>
    <w:p>
      <w:pPr>
        <w:pStyle w:val="173"/>
        <w:widowControl/>
        <w:numPr>
          <w:ilvl w:val="1"/>
          <w:numId w:val="22"/>
        </w:numPr>
        <w:adjustRightInd/>
        <w:spacing w:line="240" w:lineRule="auto"/>
        <w:jc w:val="both"/>
        <w:textAlignment w:val="auto"/>
        <w:outlineLvl w:val="1"/>
        <w:rPr>
          <w:rFonts w:ascii="宋体" w:hAnsi="宋体" w:eastAsia="宋体"/>
          <w:szCs w:val="21"/>
        </w:rPr>
      </w:pPr>
      <w:r>
        <w:rPr>
          <w:rFonts w:hint="eastAsia" w:ascii="宋体" w:hAnsi="宋体" w:eastAsia="宋体"/>
          <w:szCs w:val="21"/>
          <w:lang w:val="en-US" w:eastAsia="zh-CN"/>
        </w:rPr>
        <w:t>分布式电源可开放容量区间，应统计县级行政区和220（330）kV及以下各电压等级变压器供电范围内已备案、已并网的分布式电源装机，并根据承载力校核结果确定。</w:t>
      </w:r>
    </w:p>
    <w:p>
      <w:pPr>
        <w:pStyle w:val="173"/>
        <w:widowControl/>
        <w:numPr>
          <w:ilvl w:val="1"/>
          <w:numId w:val="22"/>
        </w:numPr>
        <w:adjustRightInd/>
        <w:spacing w:line="240" w:lineRule="auto"/>
        <w:textAlignment w:val="auto"/>
        <w:outlineLvl w:val="1"/>
      </w:pPr>
      <w:r>
        <w:rPr>
          <w:rFonts w:hint="eastAsia" w:ascii="宋体" w:hAnsi="宋体" w:eastAsia="宋体"/>
          <w:szCs w:val="21"/>
          <w:lang w:val="en-US" w:eastAsia="zh-CN"/>
        </w:rPr>
        <w:t>县级行政区和220（330）kV及以下各电压等级变压器的可开放容量等级，应根据分布式电源可开放容量区间逐级评估，并因地制宜提出承载力提升措施</w:t>
      </w:r>
      <w:bookmarkEnd w:id="140"/>
      <w:bookmarkStart w:id="144" w:name="_Toc198284260"/>
      <w:bookmarkEnd w:id="144"/>
      <w:bookmarkStart w:id="145" w:name="_Toc193181767"/>
      <w:bookmarkEnd w:id="145"/>
      <w:bookmarkStart w:id="146" w:name="_Toc198304723"/>
      <w:bookmarkEnd w:id="146"/>
      <w:bookmarkStart w:id="147" w:name="_Toc198284259"/>
      <w:bookmarkEnd w:id="147"/>
      <w:bookmarkStart w:id="148" w:name="_Toc198283960"/>
      <w:bookmarkEnd w:id="148"/>
      <w:bookmarkStart w:id="149" w:name="_Toc198283961"/>
      <w:bookmarkEnd w:id="149"/>
      <w:bookmarkStart w:id="150" w:name="_Toc198283962"/>
      <w:bookmarkEnd w:id="150"/>
      <w:bookmarkStart w:id="151" w:name="_Toc198284258"/>
      <w:bookmarkEnd w:id="151"/>
      <w:bookmarkStart w:id="152" w:name="_Toc198304721"/>
      <w:bookmarkEnd w:id="152"/>
      <w:bookmarkStart w:id="153" w:name="_Toc198304722"/>
      <w:bookmarkEnd w:id="153"/>
      <w:r>
        <w:rPr>
          <w:rFonts w:hint="eastAsia" w:ascii="宋体" w:hAnsi="宋体" w:eastAsia="宋体"/>
          <w:szCs w:val="21"/>
          <w:lang w:val="en-US" w:eastAsia="zh-CN"/>
        </w:rPr>
        <w:t>。评估流程见附录A。</w:t>
      </w:r>
    </w:p>
    <w:bookmarkEnd w:id="141"/>
    <w:bookmarkEnd w:id="142"/>
    <w:bookmarkEnd w:id="143"/>
    <w:p>
      <w:pPr>
        <w:pStyle w:val="119"/>
        <w:widowControl/>
        <w:numPr>
          <w:ilvl w:val="0"/>
          <w:numId w:val="22"/>
        </w:numPr>
        <w:adjustRightInd/>
        <w:spacing w:before="312" w:beforeLines="100" w:after="312" w:afterLines="100" w:line="240" w:lineRule="auto"/>
        <w:textAlignment w:val="auto"/>
        <w:outlineLvl w:val="0"/>
        <w:rPr>
          <w:rFonts w:hint="eastAsia"/>
        </w:rPr>
      </w:pPr>
      <w:bookmarkStart w:id="154" w:name="_Toc193181903"/>
      <w:bookmarkEnd w:id="154"/>
      <w:bookmarkStart w:id="155" w:name="_Toc193181906"/>
      <w:bookmarkEnd w:id="155"/>
      <w:bookmarkStart w:id="156" w:name="_Toc193181837"/>
      <w:bookmarkEnd w:id="156"/>
      <w:bookmarkStart w:id="157" w:name="_Toc161991897"/>
      <w:bookmarkEnd w:id="157"/>
      <w:bookmarkStart w:id="158" w:name="_Toc193181772"/>
      <w:bookmarkEnd w:id="158"/>
      <w:bookmarkStart w:id="159" w:name="_Toc193182091"/>
      <w:bookmarkEnd w:id="159"/>
      <w:bookmarkStart w:id="160" w:name="_Toc182725985"/>
      <w:bookmarkEnd w:id="160"/>
      <w:bookmarkStart w:id="161" w:name="_Toc178008534"/>
      <w:bookmarkEnd w:id="161"/>
      <w:bookmarkStart w:id="162" w:name="_Toc193181905"/>
      <w:bookmarkEnd w:id="162"/>
      <w:bookmarkStart w:id="163" w:name="_Toc193182090"/>
      <w:bookmarkEnd w:id="163"/>
      <w:bookmarkStart w:id="164" w:name="_Toc193181867"/>
      <w:bookmarkEnd w:id="164"/>
      <w:bookmarkStart w:id="165" w:name="_Toc178008601"/>
      <w:bookmarkEnd w:id="165"/>
      <w:bookmarkStart w:id="166" w:name="_Toc193181775"/>
      <w:bookmarkEnd w:id="166"/>
      <w:bookmarkStart w:id="167" w:name="_Toc193181870"/>
      <w:bookmarkEnd w:id="167"/>
      <w:bookmarkStart w:id="168" w:name="_Toc178008535"/>
      <w:bookmarkEnd w:id="168"/>
      <w:bookmarkStart w:id="169" w:name="_Toc182726046"/>
      <w:bookmarkEnd w:id="169"/>
      <w:bookmarkStart w:id="170" w:name="_Toc193181869"/>
      <w:bookmarkEnd w:id="170"/>
      <w:bookmarkStart w:id="171" w:name="_Toc193181840"/>
      <w:bookmarkEnd w:id="171"/>
      <w:bookmarkStart w:id="172" w:name="_Toc161991898"/>
      <w:bookmarkEnd w:id="172"/>
      <w:bookmarkStart w:id="173" w:name="_Toc182764949"/>
      <w:bookmarkEnd w:id="173"/>
      <w:bookmarkStart w:id="174" w:name="_Toc193181839"/>
      <w:bookmarkEnd w:id="174"/>
      <w:bookmarkStart w:id="175" w:name="_Toc178008602"/>
      <w:bookmarkEnd w:id="175"/>
      <w:bookmarkStart w:id="176" w:name="_Toc193181774"/>
      <w:bookmarkEnd w:id="176"/>
      <w:bookmarkStart w:id="177" w:name="_Toc19436"/>
      <w:bookmarkStart w:id="178" w:name="_Toc1892"/>
      <w:bookmarkStart w:id="179" w:name="_Toc4140"/>
      <w:bookmarkStart w:id="180" w:name="_Toc15149"/>
      <w:bookmarkStart w:id="181" w:name="_Toc178009459"/>
      <w:bookmarkStart w:id="182" w:name="_Toc17863"/>
      <w:bookmarkStart w:id="183" w:name="_Toc164088967"/>
      <w:bookmarkStart w:id="184" w:name="_Toc31093"/>
      <w:bookmarkStart w:id="185" w:name="_Toc161998142"/>
      <w:bookmarkStart w:id="186" w:name="_Toc164088697"/>
      <w:bookmarkStart w:id="187" w:name="_Toc163458524"/>
      <w:bookmarkStart w:id="188" w:name="_Toc19955"/>
      <w:bookmarkStart w:id="189" w:name="_Toc19142"/>
      <w:bookmarkStart w:id="190" w:name="_Toc4163"/>
      <w:bookmarkStart w:id="191" w:name="_Toc29354"/>
      <w:bookmarkStart w:id="192" w:name="_Toc29982"/>
      <w:bookmarkStart w:id="193" w:name="_Toc276130877"/>
      <w:bookmarkStart w:id="194" w:name="_Toc275857038"/>
      <w:r>
        <w:rPr>
          <w:rFonts w:hint="eastAsia"/>
          <w:lang w:val="en-US" w:eastAsia="zh-CN"/>
        </w:rPr>
        <w:t>系统级承载力计算</w:t>
      </w:r>
      <w:bookmarkEnd w:id="177"/>
      <w:bookmarkEnd w:id="178"/>
      <w:bookmarkEnd w:id="179"/>
      <w:bookmarkEnd w:id="180"/>
    </w:p>
    <w:bookmarkEnd w:id="181"/>
    <w:bookmarkEnd w:id="182"/>
    <w:bookmarkEnd w:id="183"/>
    <w:bookmarkEnd w:id="184"/>
    <w:bookmarkEnd w:id="185"/>
    <w:bookmarkEnd w:id="186"/>
    <w:bookmarkEnd w:id="187"/>
    <w:bookmarkEnd w:id="188"/>
    <w:bookmarkEnd w:id="189"/>
    <w:bookmarkEnd w:id="190"/>
    <w:bookmarkEnd w:id="191"/>
    <w:p>
      <w:pPr>
        <w:pStyle w:val="173"/>
        <w:widowControl/>
        <w:numPr>
          <w:ilvl w:val="1"/>
          <w:numId w:val="22"/>
        </w:numPr>
        <w:adjustRightInd/>
        <w:spacing w:line="240" w:lineRule="auto"/>
        <w:jc w:val="both"/>
        <w:textAlignment w:val="auto"/>
        <w:outlineLvl w:val="1"/>
        <w:rPr>
          <w:rFonts w:hint="eastAsia" w:ascii="宋体" w:hAnsi="宋体" w:eastAsia="宋体" w:cs="Times New Roman"/>
          <w:szCs w:val="21"/>
          <w:lang w:val="en-US" w:eastAsia="zh-CN"/>
        </w:rPr>
      </w:pPr>
      <w:r>
        <w:rPr>
          <w:rFonts w:hint="eastAsia" w:ascii="宋体" w:hAnsi="宋体" w:eastAsia="宋体" w:cs="Times New Roman"/>
          <w:szCs w:val="21"/>
          <w:lang w:val="en-US" w:eastAsia="zh-CN"/>
        </w:rPr>
        <w:t>省级行政区或电力调度独立控制区域承载力计算宜以年度为周期开展，也可按电力系统设计周期开展。边界条件发生重大变化时，应按需开展计算。</w:t>
      </w:r>
    </w:p>
    <w:p>
      <w:pPr>
        <w:pStyle w:val="173"/>
        <w:widowControl/>
        <w:numPr>
          <w:ilvl w:val="1"/>
          <w:numId w:val="22"/>
        </w:numPr>
        <w:adjustRightInd/>
        <w:spacing w:line="240" w:lineRule="auto"/>
        <w:jc w:val="both"/>
        <w:textAlignment w:val="auto"/>
        <w:outlineLvl w:val="1"/>
        <w:rPr>
          <w:rFonts w:hint="eastAsia" w:ascii="宋体" w:hAnsi="宋体" w:eastAsia="宋体" w:cs="Times New Roman"/>
          <w:szCs w:val="21"/>
          <w:lang w:val="en-US" w:eastAsia="zh-CN"/>
        </w:rPr>
      </w:pPr>
      <w:r>
        <w:rPr>
          <w:rFonts w:hint="eastAsia" w:ascii="宋体" w:hAnsi="宋体" w:eastAsia="宋体" w:cs="Times New Roman"/>
          <w:szCs w:val="21"/>
          <w:lang w:val="en-US" w:eastAsia="zh-CN"/>
        </w:rPr>
        <w:t>省级行政区或电力调度独立控制区域承载力计算，应结合新能源消纳分析测算工作，按照下述要求依次确定</w:t>
      </w:r>
      <w:r>
        <w:rPr>
          <w:rFonts w:hint="eastAsia" w:ascii="宋体" w:hAnsi="Times New Roman" w:eastAsia="宋体" w:cs="Times New Roman"/>
        </w:rPr>
        <w:t>评估周期内</w:t>
      </w:r>
      <w:r>
        <w:rPr>
          <w:rFonts w:hint="eastAsia" w:ascii="宋体" w:hAnsi="宋体" w:eastAsia="宋体" w:cs="Times New Roman"/>
          <w:szCs w:val="21"/>
          <w:lang w:val="en-US" w:eastAsia="zh-CN"/>
        </w:rPr>
        <w:t>基础数据及边界条件：</w:t>
      </w:r>
    </w:p>
    <w:p>
      <w:pPr>
        <w:pStyle w:val="120"/>
        <w:keepNext w:val="0"/>
        <w:keepLines w:val="0"/>
        <w:pageBreakBefore w:val="0"/>
        <w:numPr>
          <w:ilvl w:val="0"/>
          <w:numId w:val="23"/>
        </w:numPr>
        <w:kinsoku/>
        <w:wordWrap/>
        <w:overflowPunct/>
        <w:topLinePunct w:val="0"/>
        <w:bidi w:val="0"/>
        <w:snapToGrid/>
        <w:spacing w:line="240" w:lineRule="auto"/>
        <w:ind w:firstLineChars="0"/>
        <w:rPr>
          <w:rFonts w:hint="eastAsia" w:ascii="宋体" w:hAnsi="Times New Roman" w:eastAsia="宋体" w:cs="Times New Roman"/>
        </w:rPr>
      </w:pPr>
      <w:r>
        <w:rPr>
          <w:rFonts w:hint="eastAsia" w:ascii="宋体" w:hAnsi="Times New Roman" w:eastAsia="宋体" w:cs="Times New Roman"/>
        </w:rPr>
        <w:t>参与电力电量平衡的煤电、气电、常规水电、核电、风电、光伏、生物质等各类电源装机规模、出力特性</w:t>
      </w:r>
      <w:r>
        <w:rPr>
          <w:rFonts w:hint="eastAsia" w:ascii="宋体" w:hAnsi="Times New Roman" w:eastAsia="宋体" w:cs="Times New Roman"/>
          <w:lang w:val="en-US" w:eastAsia="zh-CN"/>
        </w:rPr>
        <w:t>曲线，抽水蓄能电站、新型电力储能装机规模以及充放电特性曲线</w:t>
      </w:r>
      <w:r>
        <w:rPr>
          <w:rFonts w:hint="eastAsia" w:cs="Times New Roman"/>
          <w:lang w:eastAsia="zh-CN"/>
        </w:rPr>
        <w:t>；</w:t>
      </w:r>
    </w:p>
    <w:p>
      <w:pPr>
        <w:pStyle w:val="120"/>
        <w:keepNext w:val="0"/>
        <w:keepLines w:val="0"/>
        <w:pageBreakBefore w:val="0"/>
        <w:numPr>
          <w:ilvl w:val="0"/>
          <w:numId w:val="23"/>
        </w:numPr>
        <w:kinsoku/>
        <w:wordWrap/>
        <w:overflowPunct/>
        <w:topLinePunct w:val="0"/>
        <w:bidi w:val="0"/>
        <w:snapToGrid/>
        <w:spacing w:line="240" w:lineRule="auto"/>
        <w:ind w:firstLineChars="0"/>
        <w:rPr>
          <w:rFonts w:hint="eastAsia" w:ascii="宋体" w:hAnsi="Times New Roman" w:eastAsia="宋体" w:cs="Times New Roman"/>
        </w:rPr>
      </w:pPr>
      <w:r>
        <w:rPr>
          <w:rFonts w:hint="eastAsia" w:ascii="宋体" w:hAnsi="Times New Roman" w:eastAsia="宋体" w:cs="Times New Roman"/>
        </w:rPr>
        <w:t>电力</w:t>
      </w:r>
      <w:r>
        <w:rPr>
          <w:rFonts w:hint="eastAsia" w:ascii="宋体" w:hAnsi="Times New Roman" w:eastAsia="宋体" w:cs="Times New Roman"/>
          <w:lang w:val="en-US" w:eastAsia="zh-CN"/>
        </w:rPr>
        <w:t>需求</w:t>
      </w:r>
      <w:r>
        <w:rPr>
          <w:rFonts w:hint="eastAsia" w:ascii="宋体" w:hAnsi="Times New Roman" w:eastAsia="宋体" w:cs="Times New Roman"/>
        </w:rPr>
        <w:t>、负荷曲线</w:t>
      </w:r>
      <w:r>
        <w:rPr>
          <w:rFonts w:hint="eastAsia" w:cs="Times New Roman"/>
          <w:lang w:eastAsia="zh-CN"/>
        </w:rPr>
        <w:t>；</w:t>
      </w:r>
    </w:p>
    <w:p>
      <w:pPr>
        <w:pStyle w:val="120"/>
        <w:keepNext w:val="0"/>
        <w:keepLines w:val="0"/>
        <w:pageBreakBefore w:val="0"/>
        <w:numPr>
          <w:ilvl w:val="0"/>
          <w:numId w:val="23"/>
        </w:numPr>
        <w:kinsoku/>
        <w:wordWrap/>
        <w:overflowPunct/>
        <w:topLinePunct w:val="0"/>
        <w:bidi w:val="0"/>
        <w:snapToGrid/>
        <w:spacing w:line="240" w:lineRule="auto"/>
        <w:ind w:firstLineChars="0"/>
        <w:rPr>
          <w:rFonts w:hint="eastAsia" w:ascii="宋体" w:hAnsi="Times New Roman" w:eastAsia="宋体" w:cs="Times New Roman"/>
        </w:rPr>
      </w:pPr>
      <w:r>
        <w:rPr>
          <w:rFonts w:hint="eastAsia" w:ascii="宋体" w:hAnsi="Times New Roman" w:eastAsia="宋体" w:cs="Times New Roman"/>
        </w:rPr>
        <w:t>系统备用容量，应</w:t>
      </w:r>
      <w:r>
        <w:rPr>
          <w:rFonts w:hint="eastAsia" w:cs="Times New Roman"/>
          <w:lang w:val="en-US" w:eastAsia="zh-CN"/>
        </w:rPr>
        <w:t>符合</w:t>
      </w:r>
      <w:r>
        <w:rPr>
          <w:rFonts w:hint="eastAsia" w:ascii="宋体" w:hAnsi="Times New Roman" w:eastAsia="宋体" w:cs="Times New Roman"/>
        </w:rPr>
        <w:t>GB/T 38969</w:t>
      </w:r>
      <w:r>
        <w:rPr>
          <w:rFonts w:hint="eastAsia" w:cs="Times New Roman"/>
          <w:lang w:val="en-US" w:eastAsia="zh-CN"/>
        </w:rPr>
        <w:t>规定</w:t>
      </w:r>
      <w:r>
        <w:rPr>
          <w:rFonts w:hint="eastAsia" w:cs="Times New Roman"/>
          <w:lang w:eastAsia="zh-CN"/>
        </w:rPr>
        <w:t>；</w:t>
      </w:r>
    </w:p>
    <w:p>
      <w:pPr>
        <w:pStyle w:val="120"/>
        <w:keepNext w:val="0"/>
        <w:keepLines w:val="0"/>
        <w:pageBreakBefore w:val="0"/>
        <w:numPr>
          <w:ilvl w:val="0"/>
          <w:numId w:val="23"/>
        </w:numPr>
        <w:kinsoku/>
        <w:wordWrap/>
        <w:overflowPunct/>
        <w:topLinePunct w:val="0"/>
        <w:bidi w:val="0"/>
        <w:snapToGrid/>
        <w:spacing w:line="240" w:lineRule="auto"/>
        <w:ind w:firstLineChars="0"/>
        <w:rPr>
          <w:rFonts w:hint="eastAsia" w:asciiTheme="minorEastAsia" w:hAnsiTheme="minorEastAsia" w:eastAsiaTheme="minorEastAsia" w:cstheme="minorEastAsia"/>
        </w:rPr>
      </w:pPr>
      <w:r>
        <w:rPr>
          <w:rFonts w:hint="eastAsia" w:asciiTheme="minorEastAsia" w:hAnsiTheme="minorEastAsia" w:eastAsiaTheme="minorEastAsia" w:cstheme="minorEastAsia"/>
        </w:rPr>
        <w:t>参与电力电量平衡的跨省跨区输电通道</w:t>
      </w:r>
      <w:r>
        <w:rPr>
          <w:rFonts w:hint="eastAsia" w:asciiTheme="minorEastAsia" w:hAnsiTheme="minorEastAsia" w:eastAsiaTheme="minorEastAsia" w:cstheme="minorEastAsia"/>
          <w:lang w:eastAsia="zh-CN"/>
        </w:rPr>
        <w:t>的</w:t>
      </w:r>
      <w:r>
        <w:rPr>
          <w:rFonts w:hint="eastAsia" w:asciiTheme="minorEastAsia" w:hAnsiTheme="minorEastAsia" w:eastAsiaTheme="minorEastAsia" w:cstheme="minorEastAsia"/>
        </w:rPr>
        <w:t>送电功率、送电曲线、省间分电方案等。</w:t>
      </w:r>
    </w:p>
    <w:p>
      <w:pPr>
        <w:pStyle w:val="173"/>
        <w:widowControl/>
        <w:numPr>
          <w:ilvl w:val="1"/>
          <w:numId w:val="22"/>
        </w:numPr>
        <w:adjustRightInd/>
        <w:spacing w:line="240" w:lineRule="auto"/>
        <w:jc w:val="both"/>
        <w:textAlignment w:val="auto"/>
        <w:outlineLvl w:val="1"/>
        <w:rPr>
          <w:rFonts w:hint="eastAsia" w:ascii="黑体" w:hAnsi="黑体" w:eastAsia="黑体" w:cs="黑体"/>
          <w:szCs w:val="21"/>
          <w:lang w:val="en-US" w:eastAsia="zh-CN"/>
        </w:rPr>
      </w:pPr>
      <w:r>
        <w:rPr>
          <w:rFonts w:hint="eastAsia" w:ascii="宋体" w:hAnsi="宋体" w:eastAsia="宋体" w:cs="Times New Roman"/>
          <w:szCs w:val="21"/>
          <w:lang w:val="en-US" w:eastAsia="zh-CN"/>
        </w:rPr>
        <w:t>省级行政区或电力调度独立控制区域承载力区间应</w:t>
      </w:r>
      <w:r>
        <w:rPr>
          <w:rFonts w:hint="eastAsia" w:asciiTheme="minorEastAsia" w:hAnsiTheme="minorEastAsia" w:eastAsiaTheme="minorEastAsia" w:cstheme="minorEastAsia"/>
          <w:szCs w:val="21"/>
          <w:lang w:val="en-US" w:eastAsia="zh-CN"/>
        </w:rPr>
        <w:t>在满足</w:t>
      </w:r>
      <w:r>
        <w:rPr>
          <w:rFonts w:hint="eastAsia" w:asciiTheme="minorEastAsia" w:hAnsiTheme="minorEastAsia" w:eastAsiaTheme="minorEastAsia" w:cstheme="minorEastAsia"/>
        </w:rPr>
        <w:t>GB 38755</w:t>
      </w:r>
      <w:r>
        <w:rPr>
          <w:rFonts w:hint="eastAsia" w:asciiTheme="minorEastAsia" w:hAnsiTheme="minorEastAsia" w:eastAsiaTheme="minorEastAsia" w:cstheme="minorEastAsia"/>
          <w:szCs w:val="21"/>
          <w:lang w:val="en-US" w:eastAsia="zh-CN"/>
        </w:rPr>
        <w:t>要求条件下，以</w:t>
      </w:r>
      <w:r>
        <w:rPr>
          <w:rFonts w:hint="eastAsia" w:ascii="宋体" w:hAnsi="宋体" w:eastAsia="宋体" w:cs="Times New Roman"/>
          <w:szCs w:val="21"/>
          <w:lang w:val="en-US" w:eastAsia="zh-CN"/>
        </w:rPr>
        <w:t>新能源利用率和灵活调节能力为变量，通过时序生产模拟仿真计算得出。计算流程见附录B。</w:t>
      </w:r>
    </w:p>
    <w:p>
      <w:pPr>
        <w:pStyle w:val="173"/>
        <w:widowControl/>
        <w:numPr>
          <w:ilvl w:val="1"/>
          <w:numId w:val="22"/>
        </w:numPr>
        <w:adjustRightInd/>
        <w:spacing w:line="240" w:lineRule="auto"/>
        <w:jc w:val="both"/>
        <w:textAlignment w:val="auto"/>
        <w:outlineLvl w:val="1"/>
        <w:rPr>
          <w:rFonts w:hint="eastAsia" w:ascii="宋体" w:hAnsi="宋体" w:eastAsia="宋体" w:cs="Times New Roman"/>
          <w:szCs w:val="21"/>
          <w:lang w:val="en-US" w:eastAsia="zh-CN"/>
        </w:rPr>
      </w:pPr>
      <w:r>
        <w:rPr>
          <w:rFonts w:hint="eastAsia" w:ascii="宋体" w:hAnsi="宋体" w:eastAsia="宋体" w:cs="Times New Roman"/>
          <w:szCs w:val="21"/>
          <w:lang w:val="en-US" w:eastAsia="zh-CN"/>
        </w:rPr>
        <w:t>县级行政区承载力区间应由所属省级行政区域或电力调度独立控制区域承载力计算结果分解得到，并符合下述要求：</w:t>
      </w:r>
    </w:p>
    <w:p>
      <w:pPr>
        <w:pStyle w:val="120"/>
        <w:keepNext w:val="0"/>
        <w:keepLines w:val="0"/>
        <w:pageBreakBefore w:val="0"/>
        <w:numPr>
          <w:ilvl w:val="0"/>
          <w:numId w:val="24"/>
        </w:numPr>
        <w:kinsoku/>
        <w:wordWrap/>
        <w:overflowPunct/>
        <w:topLinePunct w:val="0"/>
        <w:bidi w:val="0"/>
        <w:snapToGrid/>
        <w:spacing w:line="240" w:lineRule="auto"/>
        <w:ind w:firstLineChars="0"/>
        <w:rPr>
          <w:rFonts w:hint="eastAsia" w:ascii="宋体" w:hAnsi="Times New Roman" w:eastAsia="宋体" w:cs="Times New Roman"/>
        </w:rPr>
      </w:pPr>
      <w:r>
        <w:rPr>
          <w:rFonts w:hint="eastAsia" w:ascii="宋体" w:hAnsi="Times New Roman" w:eastAsia="宋体" w:cs="Times New Roman"/>
        </w:rPr>
        <w:t>以年度为周期计算时，可按照县级行政区的用电负荷、用电量、用户数量、分布式电源装机规模、新增装机规模、已备案装机规模、国内生产总值等要素占比，</w:t>
      </w:r>
      <w:r>
        <w:rPr>
          <w:rFonts w:hint="eastAsia" w:ascii="宋体" w:hAnsi="Times New Roman" w:eastAsia="宋体" w:cs="Times New Roman"/>
          <w:lang w:val="en-US" w:eastAsia="zh-CN"/>
        </w:rPr>
        <w:t>分解</w:t>
      </w:r>
      <w:r>
        <w:rPr>
          <w:rFonts w:hint="eastAsia" w:ascii="宋体" w:hAnsi="Times New Roman" w:eastAsia="宋体" w:cs="Times New Roman"/>
        </w:rPr>
        <w:t>得到县级行政区承载力区间</w:t>
      </w:r>
      <w:r>
        <w:rPr>
          <w:rFonts w:hint="eastAsia" w:cs="Times New Roman"/>
          <w:lang w:eastAsia="zh-CN"/>
        </w:rPr>
        <w:t>；</w:t>
      </w:r>
    </w:p>
    <w:p>
      <w:pPr>
        <w:pStyle w:val="120"/>
        <w:keepNext w:val="0"/>
        <w:keepLines w:val="0"/>
        <w:pageBreakBefore w:val="0"/>
        <w:numPr>
          <w:ilvl w:val="0"/>
          <w:numId w:val="24"/>
        </w:numPr>
        <w:kinsoku/>
        <w:wordWrap/>
        <w:overflowPunct/>
        <w:topLinePunct w:val="0"/>
        <w:bidi w:val="0"/>
        <w:snapToGrid/>
        <w:spacing w:line="240" w:lineRule="auto"/>
        <w:ind w:firstLineChars="0"/>
        <w:rPr>
          <w:rFonts w:ascii="宋体" w:hAnsi="宋体" w:eastAsia="宋体"/>
          <w:szCs w:val="21"/>
        </w:rPr>
      </w:pPr>
      <w:r>
        <w:rPr>
          <w:rFonts w:hint="eastAsia" w:ascii="宋体" w:hAnsi="Times New Roman" w:eastAsia="宋体" w:cs="Times New Roman"/>
        </w:rPr>
        <w:t>按照</w:t>
      </w:r>
      <w:r>
        <w:rPr>
          <w:rFonts w:hint="eastAsia" w:cs="Times New Roman"/>
          <w:lang w:eastAsia="zh-CN"/>
        </w:rPr>
        <w:t>电力系统设计</w:t>
      </w:r>
      <w:r>
        <w:rPr>
          <w:rFonts w:hint="eastAsia" w:ascii="宋体" w:hAnsi="Times New Roman" w:eastAsia="宋体" w:cs="Times New Roman"/>
        </w:rPr>
        <w:t>周期计算时，可</w:t>
      </w:r>
      <w:r>
        <w:rPr>
          <w:rFonts w:hint="eastAsia" w:cs="Times New Roman"/>
          <w:lang w:val="en-US" w:eastAsia="zh-CN"/>
        </w:rPr>
        <w:t>在年度计算基础上新增</w:t>
      </w:r>
      <w:r>
        <w:rPr>
          <w:rFonts w:hint="eastAsia" w:ascii="宋体" w:hAnsi="Times New Roman" w:eastAsia="宋体" w:cs="Times New Roman"/>
        </w:rPr>
        <w:t>分布式电源技术可开发潜力、抽水蓄能电站装机规模等要素，</w:t>
      </w:r>
      <w:r>
        <w:rPr>
          <w:rFonts w:hint="eastAsia" w:ascii="宋体" w:hAnsi="Times New Roman" w:eastAsia="宋体" w:cs="Times New Roman"/>
          <w:lang w:val="en-US" w:eastAsia="zh-CN"/>
        </w:rPr>
        <w:t>分解</w:t>
      </w:r>
      <w:r>
        <w:rPr>
          <w:rFonts w:hint="eastAsia" w:ascii="宋体" w:hAnsi="Times New Roman" w:eastAsia="宋体" w:cs="Times New Roman"/>
        </w:rPr>
        <w:t>得到县级行政区承载力区间。</w:t>
      </w:r>
    </w:p>
    <w:p>
      <w:pPr>
        <w:pStyle w:val="119"/>
        <w:widowControl/>
        <w:numPr>
          <w:ilvl w:val="0"/>
          <w:numId w:val="22"/>
        </w:numPr>
        <w:adjustRightInd/>
        <w:spacing w:before="312" w:beforeLines="100" w:after="312" w:afterLines="100" w:line="240" w:lineRule="auto"/>
        <w:textAlignment w:val="auto"/>
        <w:outlineLvl w:val="0"/>
        <w:rPr>
          <w:rFonts w:hint="eastAsia" w:hAnsi="Times New Roman" w:cs="Times New Roman"/>
        </w:rPr>
      </w:pPr>
      <w:bookmarkStart w:id="195" w:name="_Toc12025"/>
      <w:bookmarkStart w:id="196" w:name="_Toc2959"/>
      <w:bookmarkStart w:id="197" w:name="_Toc23194"/>
      <w:bookmarkStart w:id="198" w:name="_Toc23454"/>
      <w:r>
        <w:rPr>
          <w:rFonts w:hint="eastAsia" w:hAnsi="Times New Roman" w:cs="Times New Roman"/>
          <w:lang w:val="en-US" w:eastAsia="zh-CN"/>
        </w:rPr>
        <w:t>设备级承载力计算</w:t>
      </w:r>
      <w:bookmarkEnd w:id="195"/>
      <w:bookmarkEnd w:id="196"/>
      <w:bookmarkEnd w:id="197"/>
      <w:bookmarkEnd w:id="198"/>
    </w:p>
    <w:p>
      <w:pPr>
        <w:pStyle w:val="173"/>
        <w:widowControl/>
        <w:numPr>
          <w:ilvl w:val="1"/>
          <w:numId w:val="22"/>
        </w:numPr>
        <w:adjustRightInd/>
        <w:spacing w:line="240" w:lineRule="auto"/>
        <w:jc w:val="both"/>
        <w:textAlignment w:val="auto"/>
        <w:outlineLvl w:val="1"/>
        <w:rPr>
          <w:rFonts w:hint="eastAsia" w:ascii="宋体" w:hAnsi="宋体" w:eastAsia="宋体" w:cs="Times New Roman"/>
          <w:szCs w:val="21"/>
          <w:lang w:val="en-US" w:eastAsia="zh-CN"/>
        </w:rPr>
      </w:pPr>
      <w:r>
        <w:rPr>
          <w:rFonts w:hint="eastAsia" w:ascii="宋体" w:hAnsi="宋体" w:eastAsia="宋体" w:cs="Times New Roman"/>
          <w:szCs w:val="21"/>
          <w:lang w:val="en-US" w:eastAsia="zh-CN"/>
        </w:rPr>
        <w:t>设备级承载力计算宜以季度为周期开展，可结合分布式电源装机、电网结构、用电负荷变化调整评估周期。</w:t>
      </w:r>
    </w:p>
    <w:p>
      <w:pPr>
        <w:pStyle w:val="173"/>
        <w:widowControl/>
        <w:numPr>
          <w:ilvl w:val="1"/>
          <w:numId w:val="22"/>
        </w:numPr>
        <w:adjustRightInd/>
        <w:spacing w:line="240" w:lineRule="auto"/>
        <w:jc w:val="both"/>
        <w:textAlignment w:val="auto"/>
        <w:outlineLvl w:val="1"/>
        <w:rPr>
          <w:rFonts w:hint="eastAsia" w:ascii="宋体" w:hAnsi="宋体" w:eastAsia="宋体" w:cs="Times New Roman"/>
          <w:szCs w:val="21"/>
          <w:lang w:val="en-US" w:eastAsia="zh-CN"/>
        </w:rPr>
      </w:pPr>
      <w:r>
        <w:rPr>
          <w:rFonts w:hint="eastAsia" w:ascii="宋体" w:hAnsi="宋体" w:eastAsia="宋体" w:cs="Times New Roman"/>
          <w:szCs w:val="21"/>
          <w:lang w:val="en-US" w:eastAsia="zh-CN"/>
        </w:rPr>
        <w:t>设备级承载力计算宜在当年度春季或秋季的工作日午间时段内选取</w:t>
      </w:r>
      <w:r>
        <w:rPr>
          <w:rFonts w:hint="eastAsia" w:ascii="宋体" w:hAnsi="Times New Roman" w:eastAsia="宋体" w:cs="Times New Roman"/>
          <w:lang w:val="en-US" w:eastAsia="zh-CN"/>
        </w:rPr>
        <w:t>分布式电源</w:t>
      </w:r>
      <w:r>
        <w:rPr>
          <w:rFonts w:hint="eastAsia" w:ascii="宋体" w:eastAsia="宋体" w:cs="Times New Roman"/>
          <w:lang w:val="en-US" w:eastAsia="zh-CN"/>
        </w:rPr>
        <w:t>出力最大</w:t>
      </w:r>
      <w:r>
        <w:rPr>
          <w:rFonts w:hint="eastAsia" w:ascii="宋体" w:hAnsi="宋体" w:eastAsia="宋体" w:cs="Times New Roman"/>
          <w:szCs w:val="21"/>
          <w:lang w:val="en-US" w:eastAsia="zh-CN"/>
        </w:rPr>
        <w:t>典型时刻，并预测用电负荷、电源出力、新型电力储能装机等相关参数。</w:t>
      </w:r>
    </w:p>
    <w:p>
      <w:pPr>
        <w:pStyle w:val="120"/>
        <w:keepNext w:val="0"/>
        <w:keepLines w:val="0"/>
        <w:pageBreakBefore w:val="0"/>
        <w:widowControl/>
        <w:tabs>
          <w:tab w:val="center" w:pos="4201"/>
          <w:tab w:val="right" w:leader="dot" w:pos="9298"/>
        </w:tabs>
        <w:kinsoku/>
        <w:wordWrap/>
        <w:overflowPunct/>
        <w:topLinePunct w:val="0"/>
        <w:autoSpaceDE w:val="0"/>
        <w:autoSpaceDN w:val="0"/>
        <w:bidi w:val="0"/>
        <w:adjustRightInd/>
        <w:snapToGrid/>
        <w:spacing w:line="240" w:lineRule="auto"/>
        <w:ind w:left="862" w:leftChars="0" w:hanging="442" w:firstLineChars="0"/>
        <w:jc w:val="both"/>
        <w:textAlignment w:val="auto"/>
        <w:rPr>
          <w:rFonts w:hint="eastAsia" w:ascii="宋体" w:hAnsi="Times New Roman" w:eastAsia="宋体" w:cs="Times New Roman"/>
          <w:sz w:val="18"/>
          <w:szCs w:val="16"/>
          <w:lang w:val="en-US" w:eastAsia="zh-CN"/>
        </w:rPr>
      </w:pPr>
      <w:r>
        <w:rPr>
          <w:rFonts w:hint="eastAsia" w:ascii="黑体" w:hAnsi="黑体" w:eastAsia="黑体" w:cs="黑体"/>
          <w:sz w:val="18"/>
          <w:szCs w:val="16"/>
          <w:lang w:val="en-US" w:eastAsia="zh-CN"/>
        </w:rPr>
        <w:t>注1：</w:t>
      </w:r>
      <w:r>
        <w:rPr>
          <w:rFonts w:hint="eastAsia" w:ascii="宋体" w:hAnsi="Times New Roman" w:eastAsia="宋体" w:cs="Times New Roman"/>
          <w:sz w:val="18"/>
          <w:szCs w:val="16"/>
          <w:lang w:val="en-US" w:eastAsia="zh-CN"/>
        </w:rPr>
        <w:t>典型时刻通常参考设备近一年或更长周期的运行特性曲线选取。</w:t>
      </w:r>
    </w:p>
    <w:p>
      <w:pPr>
        <w:pStyle w:val="120"/>
        <w:keepNext w:val="0"/>
        <w:keepLines w:val="0"/>
        <w:pageBreakBefore w:val="0"/>
        <w:widowControl/>
        <w:tabs>
          <w:tab w:val="center" w:pos="4201"/>
          <w:tab w:val="right" w:leader="dot" w:pos="9298"/>
        </w:tabs>
        <w:kinsoku/>
        <w:wordWrap/>
        <w:overflowPunct/>
        <w:topLinePunct w:val="0"/>
        <w:autoSpaceDE w:val="0"/>
        <w:autoSpaceDN w:val="0"/>
        <w:bidi w:val="0"/>
        <w:adjustRightInd/>
        <w:snapToGrid/>
        <w:spacing w:line="240" w:lineRule="auto"/>
        <w:ind w:left="839" w:leftChars="0" w:hanging="420" w:firstLineChars="0"/>
        <w:jc w:val="both"/>
        <w:textAlignment w:val="auto"/>
        <w:rPr>
          <w:rFonts w:hint="eastAsia" w:ascii="宋体" w:hAnsi="Times New Roman" w:eastAsia="宋体" w:cs="Times New Roman"/>
          <w:sz w:val="18"/>
          <w:szCs w:val="16"/>
          <w:lang w:val="en-US" w:eastAsia="zh-CN"/>
        </w:rPr>
      </w:pPr>
      <w:r>
        <w:rPr>
          <w:rFonts w:hint="eastAsia" w:ascii="黑体" w:hAnsi="黑体" w:eastAsia="黑体" w:cs="黑体"/>
          <w:sz w:val="18"/>
          <w:szCs w:val="16"/>
          <w:lang w:val="en-US" w:eastAsia="zh-CN"/>
        </w:rPr>
        <w:t>注2：</w:t>
      </w:r>
      <w:r>
        <w:rPr>
          <w:rFonts w:hint="eastAsia" w:ascii="宋体" w:hAnsi="Times New Roman" w:eastAsia="宋体" w:cs="Times New Roman"/>
          <w:sz w:val="18"/>
          <w:szCs w:val="16"/>
          <w:lang w:val="en-US" w:eastAsia="zh-CN"/>
        </w:rPr>
        <w:t>一、二季度计算时，通常在当年度春季时段</w:t>
      </w:r>
      <w:r>
        <w:rPr>
          <w:rFonts w:hint="eastAsia" w:cs="Times New Roman"/>
          <w:sz w:val="18"/>
          <w:szCs w:val="16"/>
          <w:lang w:val="en-US" w:eastAsia="zh-CN"/>
        </w:rPr>
        <w:t>内</w:t>
      </w:r>
      <w:r>
        <w:rPr>
          <w:rFonts w:hint="eastAsia" w:ascii="宋体" w:hAnsi="Times New Roman" w:eastAsia="宋体" w:cs="Times New Roman"/>
          <w:sz w:val="18"/>
          <w:szCs w:val="16"/>
          <w:lang w:val="en-US" w:eastAsia="zh-CN"/>
        </w:rPr>
        <w:t>选取典型时刻；三、四季度计算时，通常在当年度秋季时段</w:t>
      </w:r>
      <w:r>
        <w:rPr>
          <w:rFonts w:hint="eastAsia" w:cs="Times New Roman"/>
          <w:sz w:val="18"/>
          <w:szCs w:val="16"/>
          <w:lang w:val="en-US" w:eastAsia="zh-CN"/>
        </w:rPr>
        <w:t>内</w:t>
      </w:r>
      <w:r>
        <w:rPr>
          <w:rFonts w:hint="eastAsia" w:ascii="宋体" w:hAnsi="Times New Roman" w:eastAsia="宋体" w:cs="Times New Roman"/>
          <w:sz w:val="18"/>
          <w:szCs w:val="16"/>
          <w:lang w:val="en-US" w:eastAsia="zh-CN"/>
        </w:rPr>
        <w:t>选取典型时刻。</w:t>
      </w:r>
    </w:p>
    <w:p>
      <w:pPr>
        <w:pStyle w:val="120"/>
        <w:keepNext w:val="0"/>
        <w:keepLines w:val="0"/>
        <w:pageBreakBefore w:val="0"/>
        <w:widowControl/>
        <w:tabs>
          <w:tab w:val="center" w:pos="4201"/>
          <w:tab w:val="right" w:leader="dot" w:pos="9298"/>
        </w:tabs>
        <w:kinsoku/>
        <w:wordWrap/>
        <w:overflowPunct/>
        <w:topLinePunct w:val="0"/>
        <w:autoSpaceDE w:val="0"/>
        <w:autoSpaceDN w:val="0"/>
        <w:bidi w:val="0"/>
        <w:adjustRightInd/>
        <w:snapToGrid/>
        <w:spacing w:line="240" w:lineRule="auto"/>
        <w:ind w:left="839" w:leftChars="0" w:hanging="420" w:firstLineChars="0"/>
        <w:jc w:val="both"/>
        <w:textAlignment w:val="auto"/>
        <w:rPr>
          <w:rFonts w:hint="default" w:ascii="宋体" w:hAnsi="Times New Roman" w:eastAsia="宋体" w:cs="Times New Roman"/>
          <w:sz w:val="18"/>
          <w:szCs w:val="16"/>
          <w:lang w:val="en-US" w:eastAsia="zh-CN"/>
        </w:rPr>
      </w:pPr>
      <w:r>
        <w:rPr>
          <w:rFonts w:hint="eastAsia" w:ascii="黑体" w:hAnsi="黑体" w:eastAsia="黑体" w:cs="黑体"/>
          <w:sz w:val="18"/>
          <w:szCs w:val="16"/>
          <w:lang w:val="en-US" w:eastAsia="zh-CN"/>
        </w:rPr>
        <w:t>注3：</w:t>
      </w:r>
      <w:r>
        <w:rPr>
          <w:rFonts w:hint="eastAsia" w:cs="Times New Roman"/>
          <w:sz w:val="18"/>
          <w:szCs w:val="16"/>
          <w:lang w:val="en-US" w:eastAsia="zh-CN"/>
        </w:rPr>
        <w:t>在春季或秋季的工作日午间时段内选取典型时刻，需引导</w:t>
      </w:r>
      <w:r>
        <w:rPr>
          <w:rFonts w:hint="eastAsia" w:ascii="宋体" w:hAnsi="Times New Roman" w:eastAsia="宋体" w:cs="Times New Roman"/>
          <w:sz w:val="18"/>
          <w:szCs w:val="16"/>
          <w:lang w:val="en-US" w:eastAsia="zh-CN"/>
        </w:rPr>
        <w:t>分布式电源接受调度指令控制输出功率</w:t>
      </w:r>
      <w:r>
        <w:rPr>
          <w:rFonts w:hint="eastAsia" w:cs="Times New Roman"/>
          <w:sz w:val="18"/>
          <w:szCs w:val="16"/>
          <w:lang w:val="en-US" w:eastAsia="zh-CN"/>
        </w:rPr>
        <w:t>，保障法定节假日时段内电网设备运行安全。</w:t>
      </w:r>
    </w:p>
    <w:p>
      <w:pPr>
        <w:pStyle w:val="173"/>
        <w:widowControl/>
        <w:numPr>
          <w:ilvl w:val="1"/>
          <w:numId w:val="22"/>
        </w:numPr>
        <w:adjustRightInd/>
        <w:spacing w:line="240" w:lineRule="auto"/>
        <w:jc w:val="both"/>
        <w:textAlignment w:val="auto"/>
        <w:outlineLvl w:val="1"/>
        <w:rPr>
          <w:rFonts w:hint="eastAsia" w:ascii="宋体" w:hAnsi="宋体" w:eastAsia="宋体" w:cs="Times New Roman"/>
          <w:szCs w:val="21"/>
          <w:lang w:val="en-US" w:eastAsia="zh-CN"/>
        </w:rPr>
      </w:pPr>
      <w:r>
        <w:rPr>
          <w:rFonts w:hint="eastAsia" w:ascii="宋体" w:hAnsi="宋体" w:eastAsia="宋体" w:cs="Times New Roman"/>
          <w:szCs w:val="21"/>
          <w:lang w:val="en-US" w:eastAsia="zh-CN"/>
        </w:rPr>
        <w:t>220（330）kV及以下各电压等级变压器设备级的承载力区间应按照公式（1）进行计算：</w:t>
      </w:r>
    </w:p>
    <w:p>
      <w:pPr>
        <w:widowControl w:val="0"/>
        <w:topLinePunct w:val="0"/>
        <w:spacing w:before="164" w:beforeLines="50" w:after="164" w:afterLines="50" w:line="240" w:lineRule="auto"/>
        <w:jc w:val="left"/>
        <w:textAlignment w:val="baseline"/>
        <w:rPr>
          <w:rFonts w:hint="default" w:ascii="Times New Roman" w:hAnsi="Times New Roman" w:eastAsia="宋体" w:cs="Times New Roman"/>
          <w:kern w:val="0"/>
          <w:sz w:val="21"/>
          <w:szCs w:val="21"/>
          <w:lang w:val="en-US" w:eastAsia="zh-CN"/>
        </w:rPr>
      </w:pPr>
      <w:r>
        <w:rPr>
          <w:rFonts w:hint="default" w:ascii="Times New Roman" w:hAnsi="Times New Roman" w:eastAsia="宋体" w:cs="Times New Roman"/>
          <w:kern w:val="0"/>
          <w:sz w:val="24"/>
          <w:lang w:val="en-US" w:eastAsia="zh-CN"/>
        </w:rPr>
        <w:t xml:space="preserve">                 </w:t>
      </w:r>
      <w:r>
        <w:rPr>
          <w:rFonts w:hint="eastAsia" w:ascii="Times New Roman" w:hAnsi="Times New Roman" w:eastAsia="宋体" w:cs="Times New Roman"/>
          <w:kern w:val="0"/>
          <w:sz w:val="24"/>
          <w:lang w:val="en-US" w:eastAsia="zh-CN"/>
        </w:rPr>
        <w:t xml:space="preserve">   </w:t>
      </w:r>
      <w:r>
        <w:rPr>
          <w:rFonts w:hint="default" w:ascii="Times New Roman" w:hAnsi="Times New Roman" w:eastAsia="宋体" w:cs="Times New Roman"/>
          <w:kern w:val="0"/>
          <w:sz w:val="24"/>
          <w:lang w:val="en-US" w:eastAsia="zh-CN"/>
        </w:rPr>
        <w:t xml:space="preserve">     </w:t>
      </w:r>
      <w:r>
        <w:rPr>
          <w:rFonts w:hint="default" w:ascii="Times New Roman" w:hAnsi="Times New Roman" w:eastAsia="宋体" w:cs="Times New Roman"/>
          <w:spacing w:val="-6"/>
          <w:kern w:val="0"/>
          <w:position w:val="-30"/>
          <w:sz w:val="24"/>
          <w:szCs w:val="28"/>
          <w:highlight w:val="none"/>
        </w:rPr>
        <w:object>
          <v:shape id="_x0000_i1025" o:spt="75" type="#_x0000_t75" style="height:32.15pt;width:173.8pt;" o:ole="t" filled="f" o:preferrelative="t" stroked="f" coordsize="21600,21600">
            <v:path/>
            <v:fill on="f" focussize="0,0"/>
            <v:stroke on="f"/>
            <v:imagedata r:id="rId16" o:title=""/>
            <o:lock v:ext="edit" aspectratio="t"/>
            <w10:wrap type="none"/>
            <w10:anchorlock/>
          </v:shape>
          <o:OLEObject Type="Embed" ProgID="Equation.3" ShapeID="_x0000_i1025" DrawAspect="Content" ObjectID="_1468075725" r:id="rId15">
            <o:LockedField>false</o:LockedField>
          </o:OLEObject>
        </w:object>
      </w:r>
      <w:r>
        <w:rPr>
          <w:rFonts w:hint="default" w:ascii="Times New Roman" w:hAnsi="Times New Roman" w:eastAsia="宋体" w:cs="Times New Roman"/>
          <w:kern w:val="0"/>
          <w:sz w:val="24"/>
          <w:lang w:val="en-US" w:eastAsia="zh-CN"/>
        </w:rPr>
        <w:t xml:space="preserve">     </w:t>
      </w:r>
      <w:r>
        <w:rPr>
          <w:rFonts w:hint="eastAsia" w:ascii="Times New Roman" w:hAnsi="Times New Roman" w:eastAsia="宋体" w:cs="Times New Roman"/>
          <w:kern w:val="0"/>
          <w:sz w:val="24"/>
          <w:lang w:val="en-US" w:eastAsia="zh-CN"/>
        </w:rPr>
        <w:t xml:space="preserve"> </w:t>
      </w:r>
      <w:r>
        <w:rPr>
          <w:rFonts w:hint="default" w:ascii="Times New Roman" w:hAnsi="Times New Roman" w:eastAsia="宋体" w:cs="Times New Roman"/>
          <w:kern w:val="0"/>
          <w:sz w:val="24"/>
          <w:lang w:val="en-US" w:eastAsia="zh-CN"/>
        </w:rPr>
        <w:t xml:space="preserve">  </w:t>
      </w:r>
      <w:r>
        <w:rPr>
          <w:rFonts w:hint="eastAsia" w:ascii="Times New Roman" w:hAnsi="Times New Roman" w:eastAsia="宋体" w:cs="Times New Roman"/>
          <w:kern w:val="0"/>
          <w:sz w:val="24"/>
          <w:lang w:val="en-US" w:eastAsia="zh-CN"/>
        </w:rPr>
        <w:t xml:space="preserve">   </w:t>
      </w:r>
      <w:r>
        <w:rPr>
          <w:rFonts w:hint="default" w:ascii="Times New Roman" w:hAnsi="Times New Roman" w:eastAsia="宋体" w:cs="Times New Roman"/>
          <w:kern w:val="0"/>
          <w:sz w:val="24"/>
          <w:lang w:val="en-US" w:eastAsia="zh-CN"/>
        </w:rPr>
        <w:t xml:space="preserve">          </w:t>
      </w:r>
      <w:r>
        <w:rPr>
          <w:rFonts w:hint="default" w:ascii="Times New Roman" w:hAnsi="Times New Roman" w:eastAsia="宋体" w:cs="Times New Roman"/>
          <w:kern w:val="0"/>
          <w:sz w:val="21"/>
          <w:szCs w:val="21"/>
          <w:lang w:val="en-US" w:eastAsia="zh-CN"/>
        </w:rPr>
        <w:t xml:space="preserve"> （1）</w:t>
      </w:r>
    </w:p>
    <w:p>
      <w:pPr>
        <w:pStyle w:val="120"/>
        <w:widowControl/>
        <w:tabs>
          <w:tab w:val="center" w:pos="4201"/>
          <w:tab w:val="right" w:leader="dot" w:pos="9298"/>
        </w:tabs>
        <w:adjustRightInd/>
        <w:spacing w:line="240" w:lineRule="auto"/>
        <w:ind w:firstLine="420"/>
        <w:jc w:val="both"/>
        <w:textAlignment w:val="auto"/>
        <w:rPr>
          <w:rFonts w:hint="default" w:ascii="宋体" w:hAnsi="Times New Roman" w:eastAsia="宋体" w:cs="Times New Roman"/>
          <w:lang w:val="en-US" w:eastAsia="zh-CN"/>
        </w:rPr>
      </w:pPr>
      <w:r>
        <w:rPr>
          <w:rFonts w:hint="eastAsia" w:ascii="宋体" w:hAnsi="Times New Roman" w:eastAsia="宋体" w:cs="Times New Roman"/>
          <w:lang w:val="en-US" w:eastAsia="zh-CN"/>
        </w:rPr>
        <w:t>式中：</w:t>
      </w:r>
    </w:p>
    <w:tbl>
      <w:tblPr>
        <w:tblStyle w:val="75"/>
        <w:tblW w:w="0" w:type="auto"/>
        <w:tblInd w:w="46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96"/>
        <w:gridCol w:w="641"/>
        <w:gridCol w:w="746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796"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jc w:val="left"/>
              <w:textAlignment w:val="baseline"/>
              <w:rPr>
                <w:rFonts w:hint="default" w:hAnsi="Calibri" w:cs="Times New Roman"/>
                <w:szCs w:val="20"/>
                <w:vertAlign w:val="baseline"/>
              </w:rPr>
            </w:pPr>
            <w:r>
              <w:rPr>
                <w:rFonts w:hint="default" w:ascii="Times New Roman" w:hAnsi="Times New Roman" w:eastAsia="宋体" w:cs="Times New Roman"/>
                <w:color w:val="auto"/>
                <w:spacing w:val="0"/>
                <w:position w:val="-12"/>
                <w:sz w:val="21"/>
                <w:szCs w:val="21"/>
                <w:highlight w:val="none"/>
              </w:rPr>
              <w:object>
                <v:shape id="_x0000_i1026" o:spt="75" type="#_x0000_t75" style="height:15.05pt;width:11.75pt;" o:ole="t" filled="f" o:preferrelative="t" stroked="f" coordsize="21600,21600">
                  <v:path/>
                  <v:fill on="f" focussize="0,0"/>
                  <v:stroke on="f"/>
                  <v:imagedata r:id="rId18" o:title=""/>
                  <o:lock v:ext="edit" aspectratio="t"/>
                  <w10:wrap type="none"/>
                  <w10:anchorlock/>
                </v:shape>
                <o:OLEObject Type="Embed" ProgID="Equation.3" ShapeID="_x0000_i1026" DrawAspect="Content" ObjectID="_1468075726" r:id="rId17">
                  <o:LockedField>false</o:LockedField>
                </o:OLEObject>
              </w:object>
            </w:r>
          </w:p>
        </w:tc>
        <w:tc>
          <w:tcPr>
            <w:tcW w:w="641"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textAlignment w:val="baseline"/>
              <w:rPr>
                <w:rFonts w:hint="default" w:ascii="Times New Roman" w:hAnsi="Times New Roman" w:eastAsia="宋体" w:cs="Times New Roman"/>
                <w:szCs w:val="20"/>
                <w:vertAlign w:val="baseline"/>
                <w:lang w:eastAsia="zh-CN"/>
              </w:rPr>
            </w:pPr>
            <w:r>
              <w:rPr>
                <w:rFonts w:hint="default" w:ascii="Times New Roman" w:hAnsi="Times New Roman" w:eastAsia="楷体_GB2312" w:cs="Times New Roman"/>
                <w:szCs w:val="20"/>
                <w:vertAlign w:val="baseline"/>
                <w:lang w:eastAsia="zh-CN"/>
              </w:rPr>
              <w:t>——</w:t>
            </w:r>
          </w:p>
        </w:tc>
        <w:tc>
          <w:tcPr>
            <w:tcW w:w="7462"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textAlignment w:val="baseline"/>
              <w:rPr>
                <w:rFonts w:hint="default" w:hAnsi="Calibri" w:cs="Times New Roman"/>
                <w:szCs w:val="20"/>
                <w:vertAlign w:val="baseline"/>
              </w:rPr>
            </w:pPr>
            <w:r>
              <w:rPr>
                <w:rFonts w:hint="default" w:ascii="Times New Roman" w:hAnsi="Times New Roman" w:cs="Times New Roman"/>
                <w:sz w:val="21"/>
                <w:szCs w:val="21"/>
                <w:lang w:val="en-US" w:eastAsia="zh-CN"/>
              </w:rPr>
              <w:t>某一</w:t>
            </w:r>
            <w:r>
              <w:rPr>
                <w:rFonts w:hint="eastAsia" w:ascii="Times New Roman" w:hAnsi="Times New Roman" w:cs="Times New Roman"/>
                <w:sz w:val="21"/>
                <w:szCs w:val="21"/>
                <w:lang w:val="en-US" w:eastAsia="zh-CN"/>
              </w:rPr>
              <w:t>变压器</w:t>
            </w:r>
            <w:r>
              <w:rPr>
                <w:rFonts w:hint="eastAsia" w:ascii="Times New Roman" w:cs="Times New Roman"/>
                <w:sz w:val="21"/>
                <w:szCs w:val="21"/>
                <w:lang w:val="en-US" w:eastAsia="zh-CN"/>
              </w:rPr>
              <w:t>的</w:t>
            </w:r>
            <w:r>
              <w:rPr>
                <w:rFonts w:hint="eastAsia" w:ascii="Times New Roman" w:hAnsi="Times New Roman" w:cs="Times New Roman"/>
                <w:sz w:val="21"/>
                <w:szCs w:val="21"/>
                <w:lang w:val="en-US" w:eastAsia="zh-CN"/>
              </w:rPr>
              <w:t>设备级</w:t>
            </w:r>
            <w:r>
              <w:rPr>
                <w:rFonts w:hint="default" w:ascii="Times New Roman" w:hAnsi="Times New Roman" w:cs="Times New Roman"/>
                <w:sz w:val="21"/>
                <w:szCs w:val="21"/>
                <w:lang w:val="en-US" w:eastAsia="zh-CN"/>
              </w:rPr>
              <w:t>承载力</w:t>
            </w:r>
            <w:r>
              <w:rPr>
                <w:rFonts w:hint="eastAsia" w:ascii="Times New Roman" w:hAnsi="Times New Roman" w:cs="Times New Roman"/>
                <w:sz w:val="21"/>
                <w:szCs w:val="21"/>
                <w:lang w:val="en-US" w:eastAsia="zh-CN"/>
              </w:rPr>
              <w:t>区间；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796"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jc w:val="left"/>
              <w:textAlignment w:val="baseline"/>
              <w:rPr>
                <w:rFonts w:hint="default" w:hAnsi="Calibri" w:cs="Times New Roman"/>
                <w:szCs w:val="20"/>
                <w:vertAlign w:val="baseline"/>
              </w:rPr>
            </w:pPr>
            <w:r>
              <w:rPr>
                <w:rFonts w:hint="default" w:ascii="Times New Roman" w:hAnsi="Times New Roman" w:eastAsia="宋体" w:cs="Times New Roman"/>
                <w:i/>
                <w:iCs/>
                <w:color w:val="auto"/>
                <w:spacing w:val="0"/>
                <w:position w:val="0"/>
                <w:sz w:val="21"/>
                <w:szCs w:val="21"/>
                <w:highlight w:val="none"/>
                <w:lang w:val="en-US" w:eastAsia="zh-CN"/>
              </w:rPr>
              <w:t>P</w:t>
            </w:r>
          </w:p>
        </w:tc>
        <w:tc>
          <w:tcPr>
            <w:tcW w:w="641"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textAlignment w:val="baseline"/>
              <w:rPr>
                <w:rFonts w:hint="default" w:ascii="Times New Roman" w:hAnsi="Times New Roman" w:cs="Times New Roman"/>
                <w:szCs w:val="20"/>
                <w:vertAlign w:val="baseline"/>
              </w:rPr>
            </w:pPr>
            <w:r>
              <w:rPr>
                <w:rFonts w:hint="default" w:ascii="Times New Roman" w:hAnsi="Times New Roman" w:eastAsia="楷体_GB2312" w:cs="Times New Roman"/>
                <w:szCs w:val="20"/>
                <w:vertAlign w:val="baseline"/>
                <w:lang w:eastAsia="zh-CN"/>
              </w:rPr>
              <w:t>——</w:t>
            </w:r>
          </w:p>
        </w:tc>
        <w:tc>
          <w:tcPr>
            <w:tcW w:w="7462"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textAlignment w:val="baseline"/>
              <w:rPr>
                <w:rFonts w:hint="default" w:hAnsi="Calibri" w:cs="Times New Roman"/>
                <w:szCs w:val="20"/>
                <w:vertAlign w:val="baseline"/>
              </w:rPr>
            </w:pPr>
            <w:r>
              <w:rPr>
                <w:rFonts w:hint="default" w:ascii="Times New Roman" w:hAnsi="Times New Roman" w:cs="Times New Roman"/>
                <w:sz w:val="21"/>
                <w:szCs w:val="21"/>
                <w:lang w:val="en-US" w:eastAsia="zh-CN"/>
              </w:rPr>
              <w:t>典型时刻下该</w:t>
            </w:r>
            <w:r>
              <w:rPr>
                <w:rFonts w:hint="eastAsia" w:ascii="Times New Roman" w:hAnsi="Times New Roman" w:cs="Times New Roman"/>
                <w:sz w:val="21"/>
                <w:szCs w:val="21"/>
                <w:lang w:val="en-US" w:eastAsia="zh-CN"/>
              </w:rPr>
              <w:t>变压器</w:t>
            </w:r>
            <w:r>
              <w:rPr>
                <w:rFonts w:hint="default" w:ascii="Times New Roman" w:hAnsi="Times New Roman" w:cs="Times New Roman"/>
                <w:sz w:val="21"/>
                <w:szCs w:val="21"/>
                <w:lang w:val="en-US" w:eastAsia="zh-CN"/>
              </w:rPr>
              <w:t>供电范围内</w:t>
            </w:r>
            <w:r>
              <w:rPr>
                <w:rFonts w:hint="eastAsia" w:ascii="Times New Roman" w:hAnsi="Times New Roman" w:cs="Times New Roman"/>
                <w:sz w:val="21"/>
                <w:szCs w:val="21"/>
                <w:lang w:val="en-US" w:eastAsia="zh-CN"/>
              </w:rPr>
              <w:t>用电负荷；</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796"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jc w:val="left"/>
              <w:textAlignment w:val="baseline"/>
              <w:rPr>
                <w:rFonts w:hint="default" w:ascii="Times New Roman" w:hAnsi="Times New Roman" w:eastAsia="宋体" w:cs="Times New Roman"/>
                <w:i/>
                <w:iCs/>
                <w:color w:val="auto"/>
                <w:spacing w:val="0"/>
                <w:position w:val="0"/>
                <w:sz w:val="21"/>
                <w:szCs w:val="21"/>
                <w:highlight w:val="none"/>
                <w:lang w:val="en-US" w:eastAsia="zh-CN"/>
              </w:rPr>
            </w:pPr>
            <w:r>
              <w:rPr>
                <w:rFonts w:hint="eastAsia" w:ascii="Times New Roman" w:hAnsi="Times New Roman" w:eastAsia="宋体" w:cs="Times New Roman"/>
                <w:i/>
                <w:iCs/>
                <w:color w:val="auto"/>
                <w:spacing w:val="0"/>
                <w:position w:val="0"/>
                <w:sz w:val="21"/>
                <w:szCs w:val="21"/>
                <w:highlight w:val="none"/>
                <w:lang w:val="en-US" w:eastAsia="zh-CN"/>
              </w:rPr>
              <w:t>P</w:t>
            </w:r>
            <w:r>
              <w:rPr>
                <w:rFonts w:hint="eastAsia" w:ascii="Times New Roman" w:hAnsi="Times New Roman" w:eastAsia="宋体" w:cs="Times New Roman"/>
                <w:i/>
                <w:iCs/>
                <w:color w:val="auto"/>
                <w:spacing w:val="0"/>
                <w:position w:val="0"/>
                <w:sz w:val="21"/>
                <w:szCs w:val="21"/>
                <w:highlight w:val="none"/>
                <w:vertAlign w:val="subscript"/>
                <w:lang w:val="en-US" w:eastAsia="zh-CN"/>
              </w:rPr>
              <w:t>G</w:t>
            </w:r>
          </w:p>
        </w:tc>
        <w:tc>
          <w:tcPr>
            <w:tcW w:w="641"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textAlignment w:val="baseline"/>
              <w:rPr>
                <w:rFonts w:hint="default" w:ascii="Times New Roman" w:hAnsi="Times New Roman" w:eastAsia="楷体_GB2312" w:cs="Times New Roman"/>
                <w:szCs w:val="20"/>
                <w:vertAlign w:val="baseline"/>
                <w:lang w:eastAsia="zh-CN"/>
              </w:rPr>
            </w:pPr>
            <w:r>
              <w:rPr>
                <w:rFonts w:hint="default" w:ascii="Times New Roman" w:hAnsi="Times New Roman" w:eastAsia="楷体_GB2312" w:cs="Times New Roman"/>
                <w:szCs w:val="20"/>
                <w:vertAlign w:val="baseline"/>
                <w:lang w:eastAsia="zh-CN"/>
              </w:rPr>
              <w:t>——</w:t>
            </w:r>
          </w:p>
        </w:tc>
        <w:tc>
          <w:tcPr>
            <w:tcW w:w="7462"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textAlignment w:val="baseline"/>
              <w:rPr>
                <w:rFonts w:hint="default" w:ascii="Times New Roman" w:hAnsi="Times New Roman" w:cs="Times New Roman"/>
                <w:sz w:val="21"/>
                <w:szCs w:val="21"/>
                <w:lang w:val="en-US" w:eastAsia="zh-CN"/>
              </w:rPr>
            </w:pPr>
            <w:r>
              <w:rPr>
                <w:rFonts w:hint="default" w:ascii="Times New Roman" w:hAnsi="Times New Roman" w:cs="Times New Roman"/>
                <w:sz w:val="21"/>
                <w:szCs w:val="21"/>
                <w:lang w:val="en-US" w:eastAsia="zh-CN"/>
              </w:rPr>
              <w:t>典型时刻下该变压器供电范围内除分布式电源之外的其他类型电源出力</w:t>
            </w:r>
            <w:r>
              <w:rPr>
                <w:rFonts w:hint="eastAsia" w:ascii="Times New Roman" w:cs="Times New Roman"/>
                <w:sz w:val="21"/>
                <w:szCs w:val="21"/>
                <w:lang w:val="en-US" w:eastAsia="zh-CN"/>
              </w:rPr>
              <w:t>之和</w:t>
            </w:r>
            <w:r>
              <w:rPr>
                <w:rFonts w:hint="eastAsia" w:ascii="Times New Roman" w:hAnsi="Times New Roman" w:cs="Times New Roman"/>
                <w:sz w:val="21"/>
                <w:szCs w:val="21"/>
                <w:lang w:val="en-US" w:eastAsia="zh-CN"/>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796"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jc w:val="left"/>
              <w:textAlignment w:val="baseline"/>
              <w:rPr>
                <w:rFonts w:hint="default" w:hAnsi="Calibri" w:cs="Times New Roman"/>
                <w:szCs w:val="20"/>
                <w:vertAlign w:val="baseline"/>
              </w:rPr>
            </w:pPr>
            <w:r>
              <w:rPr>
                <w:rFonts w:hint="default" w:ascii="Times New Roman" w:hAnsi="Times New Roman" w:eastAsia="宋体" w:cs="Times New Roman"/>
                <w:i/>
                <w:iCs/>
                <w:color w:val="auto"/>
                <w:spacing w:val="0"/>
                <w:position w:val="0"/>
                <w:sz w:val="21"/>
                <w:szCs w:val="21"/>
                <w:highlight w:val="none"/>
                <w:lang w:val="en-US" w:eastAsia="zh-CN"/>
              </w:rPr>
              <w:t>S</w:t>
            </w:r>
          </w:p>
        </w:tc>
        <w:tc>
          <w:tcPr>
            <w:tcW w:w="641"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textAlignment w:val="baseline"/>
              <w:rPr>
                <w:rFonts w:hint="default" w:ascii="Times New Roman" w:hAnsi="Times New Roman" w:cs="Times New Roman"/>
                <w:szCs w:val="20"/>
                <w:vertAlign w:val="baseline"/>
              </w:rPr>
            </w:pPr>
            <w:r>
              <w:rPr>
                <w:rFonts w:hint="default" w:ascii="Times New Roman" w:hAnsi="Times New Roman" w:eastAsia="楷体_GB2312" w:cs="Times New Roman"/>
                <w:szCs w:val="20"/>
                <w:vertAlign w:val="baseline"/>
                <w:lang w:eastAsia="zh-CN"/>
              </w:rPr>
              <w:t>——</w:t>
            </w:r>
          </w:p>
        </w:tc>
        <w:tc>
          <w:tcPr>
            <w:tcW w:w="7462"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textAlignment w:val="baseline"/>
              <w:rPr>
                <w:rFonts w:hint="default" w:hAnsi="Calibri" w:cs="Times New Roman"/>
                <w:szCs w:val="20"/>
                <w:vertAlign w:val="baseline"/>
              </w:rPr>
            </w:pPr>
            <w:r>
              <w:rPr>
                <w:rFonts w:hint="eastAsia" w:ascii="Times New Roman" w:cs="Times New Roman"/>
                <w:sz w:val="21"/>
                <w:szCs w:val="21"/>
                <w:lang w:val="en-US" w:eastAsia="zh-CN"/>
              </w:rPr>
              <w:t>该变压器</w:t>
            </w:r>
            <w:r>
              <w:rPr>
                <w:rFonts w:hint="default" w:ascii="Times New Roman" w:hAnsi="Times New Roman" w:cs="Times New Roman"/>
                <w:sz w:val="21"/>
                <w:szCs w:val="21"/>
                <w:lang w:val="en-US" w:eastAsia="zh-CN"/>
              </w:rPr>
              <w:t>额定容量</w:t>
            </w:r>
            <w:r>
              <w:rPr>
                <w:rFonts w:hint="eastAsia" w:ascii="Times New Roman" w:hAnsi="Times New Roman" w:cs="Times New Roman"/>
                <w:sz w:val="21"/>
                <w:szCs w:val="21"/>
                <w:lang w:val="en-US" w:eastAsia="zh-CN"/>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796"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jc w:val="left"/>
              <w:textAlignment w:val="baseline"/>
              <w:rPr>
                <w:rFonts w:hint="default" w:hAnsi="Calibri" w:cs="Times New Roman"/>
                <w:szCs w:val="20"/>
                <w:vertAlign w:val="baseline"/>
              </w:rPr>
            </w:pPr>
            <w:r>
              <w:rPr>
                <w:rFonts w:hint="default" w:ascii="Times New Roman" w:hAnsi="Times New Roman" w:eastAsia="宋体" w:cs="Times New Roman"/>
                <w:color w:val="auto"/>
                <w:spacing w:val="0"/>
                <w:position w:val="0"/>
                <w:sz w:val="21"/>
                <w:szCs w:val="21"/>
                <w:highlight w:val="none"/>
              </w:rPr>
              <w:object>
                <v:shape id="_x0000_i1027" o:spt="75" type="#_x0000_t75" style="height:11.6pt;width:21.65pt;" o:ole="t" filled="f" o:preferrelative="t" stroked="f" coordsize="21600,21600">
                  <v:path/>
                  <v:fill on="f" focussize="0,0"/>
                  <v:stroke on="f"/>
                  <v:imagedata r:id="rId20" o:title=""/>
                  <o:lock v:ext="edit" aspectratio="t"/>
                  <w10:wrap type="none"/>
                  <w10:anchorlock/>
                </v:shape>
                <o:OLEObject Type="Embed" ProgID="Equation.3" ShapeID="_x0000_i1027" DrawAspect="Content" ObjectID="_1468075727" r:id="rId19">
                  <o:LockedField>false</o:LockedField>
                </o:OLEObject>
              </w:object>
            </w:r>
          </w:p>
        </w:tc>
        <w:tc>
          <w:tcPr>
            <w:tcW w:w="641"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textAlignment w:val="baseline"/>
              <w:rPr>
                <w:rFonts w:hint="default" w:ascii="Times New Roman" w:hAnsi="Times New Roman" w:cs="Times New Roman"/>
                <w:szCs w:val="20"/>
                <w:vertAlign w:val="baseline"/>
              </w:rPr>
            </w:pPr>
            <w:r>
              <w:rPr>
                <w:rFonts w:hint="default" w:ascii="Times New Roman" w:hAnsi="Times New Roman" w:eastAsia="楷体_GB2312" w:cs="Times New Roman"/>
                <w:szCs w:val="20"/>
                <w:vertAlign w:val="baseline"/>
                <w:lang w:eastAsia="zh-CN"/>
              </w:rPr>
              <w:t>——</w:t>
            </w:r>
          </w:p>
        </w:tc>
        <w:tc>
          <w:tcPr>
            <w:tcW w:w="7462"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textAlignment w:val="baseline"/>
              <w:rPr>
                <w:rFonts w:hint="default" w:hAnsi="Calibri" w:cs="Times New Roman"/>
                <w:szCs w:val="20"/>
                <w:vertAlign w:val="baseline"/>
              </w:rPr>
            </w:pPr>
            <w:r>
              <w:rPr>
                <w:rFonts w:hint="eastAsia" w:asciiTheme="minorEastAsia" w:hAnsiTheme="minorEastAsia" w:eastAsiaTheme="minorEastAsia" w:cstheme="minorEastAsia"/>
                <w:spacing w:val="0"/>
                <w:position w:val="0"/>
                <w:sz w:val="21"/>
                <w:szCs w:val="21"/>
                <w:highlight w:val="none"/>
                <w:lang w:val="en-US" w:eastAsia="zh-CN"/>
              </w:rPr>
              <w:t>该变压器功率因数，</w:t>
            </w:r>
            <w:r>
              <w:rPr>
                <w:rFonts w:hint="eastAsia" w:asciiTheme="minorEastAsia" w:hAnsiTheme="minorEastAsia" w:eastAsiaTheme="minorEastAsia" w:cstheme="minorEastAsia"/>
                <w:color w:val="auto"/>
                <w:sz w:val="21"/>
                <w:szCs w:val="21"/>
                <w:highlight w:val="none"/>
                <w:lang w:val="en-US" w:eastAsia="zh-CN"/>
              </w:rPr>
              <w:t>应符合</w:t>
            </w:r>
            <w:r>
              <w:rPr>
                <w:rFonts w:hint="eastAsia" w:asciiTheme="minorEastAsia" w:hAnsiTheme="minorEastAsia" w:eastAsiaTheme="minorEastAsia" w:cstheme="minorEastAsia"/>
                <w:color w:val="auto"/>
                <w:sz w:val="21"/>
                <w:szCs w:val="21"/>
                <w:highlight w:val="none"/>
              </w:rPr>
              <w:t>DL/T 5554</w:t>
            </w:r>
            <w:r>
              <w:rPr>
                <w:rFonts w:hint="eastAsia" w:asciiTheme="minorEastAsia" w:hAnsiTheme="minorEastAsia" w:eastAsiaTheme="minorEastAsia" w:cstheme="minorEastAsia"/>
                <w:color w:val="auto"/>
                <w:sz w:val="21"/>
                <w:szCs w:val="21"/>
                <w:highlight w:val="none"/>
                <w:lang w:val="en-US" w:eastAsia="zh-CN"/>
              </w:rPr>
              <w:t>规定</w:t>
            </w:r>
            <w:r>
              <w:rPr>
                <w:rFonts w:hint="eastAsia" w:asciiTheme="minorEastAsia" w:hAnsiTheme="minorEastAsia" w:eastAsiaTheme="minorEastAsia" w:cstheme="minorEastAsia"/>
                <w:color w:val="auto"/>
                <w:sz w:val="21"/>
                <w:szCs w:val="21"/>
                <w:highlight w:val="none"/>
                <w:lang w:eastAsia="zh-CN"/>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796"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jc w:val="left"/>
              <w:textAlignment w:val="baseline"/>
              <w:rPr>
                <w:rFonts w:hint="default" w:hAnsi="Calibri" w:cs="Times New Roman"/>
                <w:szCs w:val="20"/>
                <w:vertAlign w:val="baseline"/>
              </w:rPr>
            </w:pPr>
            <w:r>
              <w:rPr>
                <w:rFonts w:hint="default" w:ascii="Times New Roman" w:hAnsi="Times New Roman" w:eastAsia="宋体" w:cs="Times New Roman"/>
                <w:color w:val="auto"/>
                <w:spacing w:val="0"/>
                <w:position w:val="0"/>
                <w:sz w:val="21"/>
                <w:szCs w:val="21"/>
                <w:highlight w:val="none"/>
              </w:rPr>
              <w:object>
                <v:shape id="_x0000_i1028" o:spt="75" type="#_x0000_t75" style="height:13.3pt;width:9.3pt;" o:ole="t" filled="f" o:preferrelative="t" stroked="f" coordsize="21600,21600">
                  <v:path/>
                  <v:fill on="f" focussize="0,0"/>
                  <v:stroke on="f"/>
                  <v:imagedata r:id="rId22" o:title=""/>
                  <o:lock v:ext="edit" aspectratio="t"/>
                  <w10:wrap type="none"/>
                  <w10:anchorlock/>
                </v:shape>
                <o:OLEObject Type="Embed" ProgID="Equation.3" ShapeID="_x0000_i1028" DrawAspect="Content" ObjectID="_1468075728" r:id="rId21">
                  <o:LockedField>false</o:LockedField>
                </o:OLEObject>
              </w:object>
            </w:r>
          </w:p>
        </w:tc>
        <w:tc>
          <w:tcPr>
            <w:tcW w:w="641"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textAlignment w:val="baseline"/>
              <w:rPr>
                <w:rFonts w:hint="default" w:ascii="Times New Roman" w:hAnsi="Times New Roman" w:cs="Times New Roman"/>
                <w:szCs w:val="20"/>
                <w:vertAlign w:val="baseline"/>
              </w:rPr>
            </w:pPr>
            <w:r>
              <w:rPr>
                <w:rFonts w:hint="default" w:ascii="Times New Roman" w:hAnsi="Times New Roman" w:eastAsia="楷体_GB2312" w:cs="Times New Roman"/>
                <w:szCs w:val="20"/>
                <w:vertAlign w:val="baseline"/>
                <w:lang w:eastAsia="zh-CN"/>
              </w:rPr>
              <w:t>——</w:t>
            </w:r>
          </w:p>
        </w:tc>
        <w:tc>
          <w:tcPr>
            <w:tcW w:w="7462"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textAlignment w:val="baseline"/>
              <w:rPr>
                <w:rFonts w:hint="default" w:hAnsi="Calibri" w:cs="Times New Roman"/>
                <w:szCs w:val="20"/>
                <w:vertAlign w:val="baseline"/>
              </w:rPr>
            </w:pPr>
            <w:r>
              <w:rPr>
                <w:rFonts w:hint="eastAsia" w:ascii="Times New Roman" w:hAnsi="Times New Roman" w:eastAsia="宋体" w:cs="Times New Roman"/>
                <w:bCs w:val="0"/>
                <w:color w:val="000000"/>
                <w:spacing w:val="0"/>
                <w:kern w:val="0"/>
                <w:sz w:val="21"/>
                <w:szCs w:val="21"/>
                <w:highlight w:val="none"/>
                <w:lang w:val="en-US" w:eastAsia="zh-CN"/>
              </w:rPr>
              <w:t>该变压器的</w:t>
            </w:r>
            <w:r>
              <w:rPr>
                <w:rFonts w:hint="default" w:ascii="Times New Roman" w:hAnsi="Times New Roman" w:cs="Times New Roman"/>
                <w:sz w:val="21"/>
                <w:szCs w:val="21"/>
                <w:lang w:val="en-US" w:eastAsia="zh-CN"/>
              </w:rPr>
              <w:t>最大反向负载率</w:t>
            </w:r>
            <w:r>
              <w:rPr>
                <w:rFonts w:hint="eastAsia" w:ascii="Times New Roman" w:hAnsi="Times New Roman" w:cs="Times New Roman"/>
                <w:sz w:val="21"/>
                <w:szCs w:val="21"/>
                <w:lang w:val="en-US" w:eastAsia="zh-CN"/>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796"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jc w:val="left"/>
              <w:textAlignment w:val="baseline"/>
              <w:rPr>
                <w:rFonts w:hint="default" w:ascii="Times New Roman" w:hAnsi="Times New Roman" w:eastAsia="宋体" w:cs="Times New Roman"/>
                <w:color w:val="auto"/>
                <w:spacing w:val="0"/>
                <w:position w:val="0"/>
                <w:sz w:val="21"/>
                <w:szCs w:val="21"/>
                <w:highlight w:val="none"/>
              </w:rPr>
            </w:pPr>
            <w:r>
              <w:rPr>
                <w:rFonts w:hint="default" w:ascii="Times New Roman" w:hAnsi="Times New Roman" w:eastAsia="宋体" w:cs="Times New Roman"/>
                <w:color w:val="auto"/>
                <w:spacing w:val="0"/>
                <w:position w:val="0"/>
                <w:sz w:val="21"/>
                <w:szCs w:val="21"/>
                <w:highlight w:val="none"/>
              </w:rPr>
              <w:object>
                <v:shape id="_x0000_i1029" o:spt="75" type="#_x0000_t75" style="height:15.6pt;width:17.65pt;" o:ole="t" filled="f" o:preferrelative="t" stroked="f" coordsize="21600,21600">
                  <v:path/>
                  <v:fill on="f" focussize="0,0"/>
                  <v:stroke on="f"/>
                  <v:imagedata r:id="rId24" o:title=""/>
                  <o:lock v:ext="edit" aspectratio="t"/>
                  <w10:wrap type="none"/>
                  <w10:anchorlock/>
                </v:shape>
                <o:OLEObject Type="Embed" ProgID="Equation.3" ShapeID="_x0000_i1029" DrawAspect="Content" ObjectID="_1468075729" r:id="rId23">
                  <o:LockedField>false</o:LockedField>
                </o:OLEObject>
              </w:object>
            </w:r>
          </w:p>
        </w:tc>
        <w:tc>
          <w:tcPr>
            <w:tcW w:w="641"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textAlignment w:val="baseline"/>
              <w:rPr>
                <w:rFonts w:hint="default" w:ascii="Times New Roman" w:hAnsi="Times New Roman" w:cs="Times New Roman"/>
                <w:szCs w:val="20"/>
                <w:vertAlign w:val="baseline"/>
              </w:rPr>
            </w:pPr>
            <w:r>
              <w:rPr>
                <w:rFonts w:hint="default" w:ascii="Times New Roman" w:hAnsi="Times New Roman" w:eastAsia="楷体_GB2312" w:cs="Times New Roman"/>
                <w:szCs w:val="20"/>
                <w:vertAlign w:val="baseline"/>
                <w:lang w:eastAsia="zh-CN"/>
              </w:rPr>
              <w:t>——</w:t>
            </w:r>
          </w:p>
        </w:tc>
        <w:tc>
          <w:tcPr>
            <w:tcW w:w="7462"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textAlignment w:val="baseline"/>
              <w:rPr>
                <w:rFonts w:hint="default" w:hAnsi="Calibri" w:cs="Times New Roman"/>
                <w:szCs w:val="20"/>
                <w:vertAlign w:val="baseline"/>
              </w:rPr>
            </w:pPr>
            <w:r>
              <w:rPr>
                <w:rFonts w:hint="default" w:ascii="Times New Roman" w:hAnsi="Times New Roman" w:cs="Times New Roman"/>
                <w:sz w:val="21"/>
                <w:szCs w:val="21"/>
                <w:lang w:val="en-US" w:eastAsia="zh-CN"/>
              </w:rPr>
              <w:t>该</w:t>
            </w:r>
            <w:r>
              <w:rPr>
                <w:rFonts w:hint="eastAsia" w:ascii="Times New Roman" w:hAnsi="Times New Roman" w:cs="Times New Roman"/>
                <w:sz w:val="21"/>
                <w:szCs w:val="21"/>
                <w:lang w:val="en-US" w:eastAsia="zh-CN"/>
              </w:rPr>
              <w:t>变压器</w:t>
            </w:r>
            <w:r>
              <w:rPr>
                <w:rFonts w:hint="default" w:ascii="Times New Roman" w:hAnsi="Times New Roman" w:cs="Times New Roman"/>
                <w:sz w:val="21"/>
                <w:szCs w:val="21"/>
                <w:lang w:val="en-US" w:eastAsia="zh-CN"/>
              </w:rPr>
              <w:t>供电范围内</w:t>
            </w:r>
            <w:r>
              <w:rPr>
                <w:rFonts w:hint="default" w:ascii="Times New Roman" w:hAnsi="Times New Roman" w:eastAsia="宋体" w:cs="Times New Roman"/>
                <w:color w:val="auto"/>
                <w:sz w:val="21"/>
                <w:szCs w:val="21"/>
                <w:highlight w:val="none"/>
                <w:lang w:val="en-US" w:eastAsia="zh-CN"/>
              </w:rPr>
              <w:t>分布式电源</w:t>
            </w:r>
            <w:r>
              <w:rPr>
                <w:rFonts w:hint="eastAsia" w:ascii="Times New Roman" w:hAnsi="Times New Roman" w:eastAsia="宋体" w:cs="Times New Roman"/>
                <w:color w:val="auto"/>
                <w:sz w:val="21"/>
                <w:szCs w:val="21"/>
                <w:highlight w:val="none"/>
                <w:lang w:val="en-US" w:eastAsia="zh-CN"/>
              </w:rPr>
              <w:t>最大</w:t>
            </w:r>
            <w:r>
              <w:rPr>
                <w:rFonts w:hint="default" w:ascii="Times New Roman" w:hAnsi="Times New Roman" w:eastAsia="宋体" w:cs="Times New Roman"/>
                <w:color w:val="auto"/>
                <w:sz w:val="21"/>
                <w:szCs w:val="21"/>
                <w:highlight w:val="none"/>
                <w:lang w:val="en-US" w:eastAsia="zh-CN"/>
              </w:rPr>
              <w:t>出力系数</w:t>
            </w:r>
            <w:r>
              <w:rPr>
                <w:rFonts w:hint="eastAsia" w:ascii="Times New Roman" w:cs="Times New Roman"/>
                <w:color w:val="auto"/>
                <w:sz w:val="21"/>
                <w:szCs w:val="21"/>
                <w:highlight w:val="none"/>
                <w:lang w:val="en-US" w:eastAsia="zh-CN"/>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796"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jc w:val="left"/>
              <w:textAlignment w:val="baseline"/>
              <w:rPr>
                <w:rFonts w:hint="default" w:ascii="Times New Roman" w:hAnsi="Times New Roman" w:eastAsia="宋体" w:cs="Times New Roman"/>
                <w:color w:val="auto"/>
                <w:spacing w:val="0"/>
                <w:position w:val="0"/>
                <w:sz w:val="21"/>
                <w:szCs w:val="21"/>
                <w:highlight w:val="none"/>
              </w:rPr>
            </w:pPr>
            <w:r>
              <w:rPr>
                <w:rFonts w:hint="eastAsia" w:ascii="Times New Roman" w:hAnsi="Times New Roman" w:eastAsia="宋体" w:cs="Times New Roman"/>
                <w:i/>
                <w:iCs/>
                <w:color w:val="auto"/>
                <w:spacing w:val="0"/>
                <w:position w:val="0"/>
                <w:sz w:val="21"/>
                <w:szCs w:val="21"/>
                <w:highlight w:val="none"/>
                <w:lang w:val="en-US" w:eastAsia="zh-CN"/>
              </w:rPr>
              <w:t>P</w:t>
            </w:r>
            <w:r>
              <w:rPr>
                <w:rFonts w:hint="eastAsia" w:ascii="Times New Roman" w:hAnsi="Times New Roman" w:eastAsia="宋体" w:cs="Times New Roman"/>
                <w:i/>
                <w:iCs/>
                <w:color w:val="auto"/>
                <w:spacing w:val="0"/>
                <w:position w:val="0"/>
                <w:sz w:val="21"/>
                <w:szCs w:val="21"/>
                <w:highlight w:val="none"/>
                <w:vertAlign w:val="subscript"/>
                <w:lang w:val="en-US" w:eastAsia="zh-CN"/>
              </w:rPr>
              <w:t>ESS</w:t>
            </w:r>
          </w:p>
        </w:tc>
        <w:tc>
          <w:tcPr>
            <w:tcW w:w="641"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textAlignment w:val="baseline"/>
              <w:rPr>
                <w:rFonts w:hint="default" w:ascii="Times New Roman" w:hAnsi="Times New Roman" w:eastAsia="楷体_GB2312" w:cs="Times New Roman"/>
                <w:szCs w:val="20"/>
                <w:vertAlign w:val="baseline"/>
                <w:lang w:eastAsia="zh-CN"/>
              </w:rPr>
            </w:pPr>
            <w:r>
              <w:rPr>
                <w:rFonts w:hint="default" w:ascii="Times New Roman" w:hAnsi="Times New Roman" w:eastAsia="楷体_GB2312" w:cs="Times New Roman"/>
                <w:szCs w:val="20"/>
                <w:vertAlign w:val="baseline"/>
                <w:lang w:eastAsia="zh-CN"/>
              </w:rPr>
              <w:t>——</w:t>
            </w:r>
          </w:p>
        </w:tc>
        <w:tc>
          <w:tcPr>
            <w:tcW w:w="7462"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textAlignment w:val="baseline"/>
              <w:rPr>
                <w:rFonts w:hint="default" w:ascii="Times New Roman" w:hAnsi="Times New Roman" w:cs="Times New Roman"/>
                <w:sz w:val="21"/>
                <w:szCs w:val="21"/>
                <w:lang w:val="en-US" w:eastAsia="zh-CN"/>
              </w:rPr>
            </w:pPr>
            <w:r>
              <w:rPr>
                <w:rFonts w:hint="default" w:ascii="Times New Roman" w:hAnsi="Times New Roman" w:cs="Times New Roman"/>
                <w:sz w:val="21"/>
                <w:szCs w:val="21"/>
                <w:lang w:val="en-US" w:eastAsia="zh-CN"/>
              </w:rPr>
              <w:t>典型时刻下该变压器供电范围内</w:t>
            </w:r>
            <w:r>
              <w:rPr>
                <w:rFonts w:hint="eastAsia" w:ascii="Times New Roman" w:cs="Times New Roman"/>
                <w:sz w:val="21"/>
                <w:szCs w:val="21"/>
                <w:lang w:val="en-US" w:eastAsia="zh-CN"/>
              </w:rPr>
              <w:t>已并网</w:t>
            </w:r>
            <w:r>
              <w:rPr>
                <w:rFonts w:hint="default" w:ascii="Times New Roman" w:hAnsi="Times New Roman" w:cs="Times New Roman"/>
                <w:sz w:val="21"/>
                <w:szCs w:val="21"/>
                <w:lang w:val="en-US" w:eastAsia="zh-CN"/>
              </w:rPr>
              <w:t>灵活调节资源</w:t>
            </w:r>
            <w:r>
              <w:rPr>
                <w:rFonts w:hint="eastAsia" w:ascii="Times New Roman" w:cs="Times New Roman"/>
                <w:sz w:val="21"/>
                <w:szCs w:val="21"/>
                <w:lang w:val="en-US" w:eastAsia="zh-CN"/>
              </w:rPr>
              <w:t>的充电功率</w:t>
            </w:r>
            <w:r>
              <w:rPr>
                <w:rFonts w:hint="default" w:ascii="Times New Roman" w:hAnsi="Times New Roman" w:cs="Times New Roman"/>
                <w:sz w:val="21"/>
                <w:szCs w:val="21"/>
                <w:lang w:val="en-US" w:eastAsia="zh-CN"/>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796" w:type="dxa"/>
            <w:shd w:val="clear" w:color="auto" w:fill="auto"/>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leftChars="0" w:right="0" w:rightChars="0" w:firstLine="0" w:firstLineChars="0"/>
              <w:jc w:val="left"/>
              <w:textAlignment w:val="baseline"/>
              <w:rPr>
                <w:rFonts w:hint="default" w:ascii="Times New Roman" w:hAnsi="Times New Roman" w:eastAsia="宋体" w:cs="Times New Roman"/>
                <w:i/>
                <w:iCs/>
                <w:color w:val="auto"/>
                <w:spacing w:val="0"/>
                <w:position w:val="0"/>
                <w:sz w:val="21"/>
                <w:szCs w:val="21"/>
                <w:highlight w:val="none"/>
                <w:lang w:val="en-US" w:eastAsia="zh-CN" w:bidi="ar-SA"/>
              </w:rPr>
            </w:pPr>
            <w:r>
              <w:rPr>
                <w:rFonts w:hint="eastAsia" w:ascii="宋体" w:hAnsi="宋体" w:eastAsia="宋体" w:cs="宋体"/>
                <w:i w:val="0"/>
                <w:iCs w:val="0"/>
                <w:color w:val="auto"/>
                <w:spacing w:val="0"/>
                <w:position w:val="0"/>
                <w:sz w:val="21"/>
                <w:szCs w:val="21"/>
                <w:highlight w:val="none"/>
                <w:lang w:val="en-US" w:eastAsia="zh-CN"/>
              </w:rPr>
              <w:t>Δ</w:t>
            </w:r>
            <w:r>
              <w:rPr>
                <w:rFonts w:hint="eastAsia" w:ascii="Times New Roman" w:hAnsi="Times New Roman" w:eastAsia="宋体" w:cs="Times New Roman"/>
                <w:i/>
                <w:iCs/>
                <w:color w:val="auto"/>
                <w:spacing w:val="0"/>
                <w:position w:val="0"/>
                <w:sz w:val="21"/>
                <w:szCs w:val="21"/>
                <w:highlight w:val="none"/>
                <w:lang w:val="en-US" w:eastAsia="zh-CN"/>
              </w:rPr>
              <w:t>P</w:t>
            </w:r>
            <w:r>
              <w:rPr>
                <w:rFonts w:hint="eastAsia" w:ascii="Times New Roman" w:hAnsi="Times New Roman" w:eastAsia="宋体" w:cs="Times New Roman"/>
                <w:i/>
                <w:iCs/>
                <w:color w:val="auto"/>
                <w:spacing w:val="0"/>
                <w:position w:val="0"/>
                <w:sz w:val="21"/>
                <w:szCs w:val="21"/>
                <w:highlight w:val="none"/>
                <w:vertAlign w:val="subscript"/>
                <w:lang w:val="en-US" w:eastAsia="zh-CN"/>
              </w:rPr>
              <w:t>ESS</w:t>
            </w:r>
          </w:p>
        </w:tc>
        <w:tc>
          <w:tcPr>
            <w:tcW w:w="641" w:type="dxa"/>
            <w:shd w:val="clear" w:color="auto" w:fill="auto"/>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leftChars="0" w:right="0" w:rightChars="0" w:firstLine="0" w:firstLineChars="0"/>
              <w:textAlignment w:val="baseline"/>
              <w:rPr>
                <w:rFonts w:hint="default" w:ascii="Times New Roman" w:hAnsi="Times New Roman" w:eastAsia="楷体_GB2312" w:cs="Times New Roman"/>
                <w:sz w:val="21"/>
                <w:szCs w:val="20"/>
                <w:vertAlign w:val="baseline"/>
                <w:lang w:val="en-US" w:eastAsia="zh-CN" w:bidi="ar-SA"/>
              </w:rPr>
            </w:pPr>
            <w:r>
              <w:rPr>
                <w:rFonts w:hint="default" w:ascii="Times New Roman" w:hAnsi="Times New Roman" w:eastAsia="楷体_GB2312" w:cs="Times New Roman"/>
                <w:szCs w:val="20"/>
                <w:vertAlign w:val="baseline"/>
                <w:lang w:eastAsia="zh-CN"/>
              </w:rPr>
              <w:t>——</w:t>
            </w:r>
          </w:p>
        </w:tc>
        <w:tc>
          <w:tcPr>
            <w:tcW w:w="7462" w:type="dxa"/>
            <w:shd w:val="clear" w:color="auto" w:fill="auto"/>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leftChars="0" w:right="0" w:rightChars="0" w:firstLine="0" w:firstLineChars="0"/>
              <w:textAlignment w:val="baseline"/>
              <w:rPr>
                <w:rFonts w:hint="default" w:ascii="Times New Roman" w:hAnsi="Times New Roman" w:eastAsia="宋体" w:cs="Times New Roman"/>
                <w:sz w:val="21"/>
                <w:szCs w:val="21"/>
                <w:lang w:val="en-US" w:eastAsia="zh-CN" w:bidi="ar-SA"/>
              </w:rPr>
            </w:pPr>
            <w:r>
              <w:rPr>
                <w:rFonts w:hint="default" w:ascii="Times New Roman" w:hAnsi="Times New Roman" w:cs="Times New Roman"/>
                <w:sz w:val="21"/>
                <w:szCs w:val="21"/>
                <w:lang w:val="en-US" w:eastAsia="zh-CN"/>
              </w:rPr>
              <w:t>典型时刻下该变压器供电</w:t>
            </w:r>
            <w:r>
              <w:rPr>
                <w:rFonts w:hint="eastAsia" w:ascii="Times New Roman" w:hAnsi="Times New Roman" w:cs="Times New Roman"/>
                <w:sz w:val="21"/>
                <w:szCs w:val="21"/>
                <w:lang w:val="en-US" w:eastAsia="zh-CN"/>
              </w:rPr>
              <w:t>范围内</w:t>
            </w:r>
            <w:r>
              <w:rPr>
                <w:rFonts w:hint="eastAsia" w:ascii="Times New Roman" w:cs="Times New Roman"/>
                <w:sz w:val="21"/>
                <w:szCs w:val="21"/>
                <w:lang w:val="en-US" w:eastAsia="zh-CN"/>
              </w:rPr>
              <w:t>预期新增的灵活调节资源</w:t>
            </w:r>
            <w:r>
              <w:rPr>
                <w:rFonts w:hint="eastAsia" w:ascii="Times New Roman" w:hAnsi="Times New Roman" w:cs="Times New Roman"/>
                <w:sz w:val="21"/>
                <w:szCs w:val="21"/>
                <w:lang w:val="en-US" w:eastAsia="zh-CN"/>
              </w:rPr>
              <w:t>装机规模区间</w:t>
            </w:r>
            <w:r>
              <w:rPr>
                <w:rFonts w:hint="eastAsia" w:ascii="Times New Roman" w:cs="Times New Roman"/>
                <w:sz w:val="21"/>
                <w:szCs w:val="21"/>
                <w:lang w:val="en-US" w:eastAsia="zh-CN"/>
              </w:rPr>
              <w:t>。</w:t>
            </w:r>
          </w:p>
        </w:tc>
      </w:tr>
    </w:tbl>
    <w:p>
      <w:pPr>
        <w:pStyle w:val="120"/>
        <w:keepNext w:val="0"/>
        <w:keepLines w:val="0"/>
        <w:pageBreakBefore w:val="0"/>
        <w:widowControl/>
        <w:tabs>
          <w:tab w:val="center" w:pos="4201"/>
          <w:tab w:val="right" w:leader="dot" w:pos="9298"/>
        </w:tabs>
        <w:kinsoku/>
        <w:wordWrap/>
        <w:overflowPunct/>
        <w:topLinePunct w:val="0"/>
        <w:autoSpaceDE/>
        <w:autoSpaceDN/>
        <w:bidi w:val="0"/>
        <w:adjustRightInd/>
        <w:snapToGrid/>
        <w:spacing w:before="0" w:beforeLines="0" w:line="240" w:lineRule="auto"/>
        <w:ind w:left="862" w:leftChars="0" w:hanging="442" w:firstLineChars="0"/>
        <w:jc w:val="both"/>
        <w:textAlignment w:val="auto"/>
        <w:rPr>
          <w:rFonts w:hint="eastAsia" w:asciiTheme="minorEastAsia" w:hAnsiTheme="minorEastAsia" w:eastAsiaTheme="minorEastAsia" w:cstheme="minorEastAsia"/>
          <w:sz w:val="18"/>
          <w:szCs w:val="16"/>
          <w:lang w:val="en-US" w:eastAsia="zh-CN"/>
        </w:rPr>
      </w:pPr>
      <w:r>
        <w:rPr>
          <w:rFonts w:hint="eastAsia" w:ascii="黑体" w:hAnsi="黑体" w:eastAsia="黑体" w:cs="黑体"/>
          <w:sz w:val="18"/>
          <w:szCs w:val="16"/>
          <w:lang w:val="en-US" w:eastAsia="zh-CN"/>
        </w:rPr>
        <w:t>注：</w:t>
      </w:r>
      <w:r>
        <w:rPr>
          <w:rFonts w:hint="eastAsia" w:asciiTheme="minorEastAsia" w:hAnsiTheme="minorEastAsia" w:eastAsiaTheme="minorEastAsia" w:cstheme="minorEastAsia"/>
          <w:sz w:val="18"/>
          <w:szCs w:val="16"/>
          <w:lang w:val="en-US" w:eastAsia="zh-CN"/>
        </w:rPr>
        <w:t>除分布式电源之外的其他类型电源，包括煤电、气电、核电、50MW以上装机的水电等常规电源以及风电、太阳能、生物质等集中式新能源；</w:t>
      </w:r>
      <w:r>
        <w:rPr>
          <w:rFonts w:hint="eastAsia" w:asciiTheme="minorEastAsia" w:hAnsiTheme="minorEastAsia" w:eastAsiaTheme="minorEastAsia" w:cstheme="minorEastAsia"/>
          <w:sz w:val="18"/>
          <w:szCs w:val="16"/>
        </w:rPr>
        <w:t>接入110（66）kV电压等级的大型工商业分布式光伏</w:t>
      </w:r>
      <w:r>
        <w:rPr>
          <w:rFonts w:hint="eastAsia" w:asciiTheme="minorEastAsia" w:hAnsiTheme="minorEastAsia" w:eastAsiaTheme="minorEastAsia" w:cstheme="minorEastAsia"/>
          <w:sz w:val="18"/>
          <w:szCs w:val="16"/>
          <w:lang w:eastAsia="zh-CN"/>
        </w:rPr>
        <w:t>、</w:t>
      </w:r>
      <w:r>
        <w:rPr>
          <w:rFonts w:hint="eastAsia" w:asciiTheme="minorEastAsia" w:hAnsiTheme="minorEastAsia" w:eastAsiaTheme="minorEastAsia" w:cstheme="minorEastAsia"/>
          <w:sz w:val="18"/>
          <w:szCs w:val="16"/>
          <w:lang w:val="en-US" w:eastAsia="zh-CN"/>
        </w:rPr>
        <w:t>50MW及以下装机的水电</w:t>
      </w:r>
      <w:r>
        <w:rPr>
          <w:rFonts w:hint="eastAsia" w:asciiTheme="minorEastAsia" w:hAnsiTheme="minorEastAsia" w:eastAsiaTheme="minorEastAsia" w:cstheme="minorEastAsia"/>
          <w:sz w:val="18"/>
          <w:szCs w:val="16"/>
        </w:rPr>
        <w:t>在本文件中视为分布式电源</w:t>
      </w:r>
      <w:r>
        <w:rPr>
          <w:rFonts w:hint="eastAsia" w:asciiTheme="minorEastAsia" w:hAnsiTheme="minorEastAsia" w:eastAsiaTheme="minorEastAsia" w:cstheme="minorEastAsia"/>
          <w:sz w:val="18"/>
          <w:szCs w:val="16"/>
          <w:lang w:eastAsia="zh-CN"/>
        </w:rPr>
        <w:t>。</w:t>
      </w:r>
    </w:p>
    <w:p>
      <w:pPr>
        <w:pStyle w:val="173"/>
        <w:keepNext w:val="0"/>
        <w:keepLines w:val="0"/>
        <w:pageBreakBefore w:val="0"/>
        <w:widowControl/>
        <w:numPr>
          <w:ilvl w:val="1"/>
          <w:numId w:val="22"/>
        </w:numPr>
        <w:kinsoku/>
        <w:wordWrap/>
        <w:overflowPunct/>
        <w:topLinePunct w:val="0"/>
        <w:autoSpaceDE/>
        <w:autoSpaceDN/>
        <w:bidi w:val="0"/>
        <w:adjustRightInd/>
        <w:snapToGrid/>
        <w:spacing w:before="0" w:beforeLines="0" w:line="240" w:lineRule="auto"/>
        <w:jc w:val="left"/>
        <w:textAlignment w:val="auto"/>
        <w:outlineLvl w:val="1"/>
        <w:rPr>
          <w:rFonts w:hint="eastAsia" w:ascii="宋体" w:hAnsi="宋体" w:eastAsia="宋体" w:cs="Times New Roman"/>
          <w:szCs w:val="21"/>
          <w:lang w:val="en-US" w:eastAsia="zh-CN"/>
        </w:rPr>
      </w:pPr>
      <w:r>
        <w:rPr>
          <w:rFonts w:hint="eastAsia" w:ascii="宋体" w:hAnsi="宋体" w:eastAsia="宋体" w:cs="Times New Roman"/>
          <w:szCs w:val="21"/>
          <w:lang w:val="en-US" w:eastAsia="zh-CN"/>
        </w:rPr>
        <w:t>变压器</w:t>
      </w:r>
      <w:r>
        <w:rPr>
          <w:rFonts w:hint="default" w:ascii="宋体" w:hAnsi="宋体" w:eastAsia="宋体" w:cs="Times New Roman"/>
          <w:szCs w:val="21"/>
          <w:lang w:val="en-US" w:eastAsia="zh-CN"/>
        </w:rPr>
        <w:t>最大反向负载率</w:t>
      </w:r>
      <w:r>
        <w:rPr>
          <w:rFonts w:hint="eastAsia" w:ascii="宋体" w:hAnsi="宋体" w:eastAsia="宋体" w:cs="Times New Roman"/>
          <w:szCs w:val="21"/>
          <w:lang w:val="en-US" w:eastAsia="zh-CN"/>
        </w:rPr>
        <w:t>宜按照下列要求取值：</w:t>
      </w:r>
    </w:p>
    <w:p>
      <w:pPr>
        <w:pStyle w:val="120"/>
        <w:keepNext w:val="0"/>
        <w:keepLines w:val="0"/>
        <w:pageBreakBefore w:val="0"/>
        <w:numPr>
          <w:ilvl w:val="0"/>
          <w:numId w:val="25"/>
        </w:numPr>
        <w:kinsoku/>
        <w:wordWrap/>
        <w:overflowPunct/>
        <w:topLinePunct w:val="0"/>
        <w:bidi w:val="0"/>
        <w:snapToGrid/>
        <w:spacing w:line="240" w:lineRule="auto"/>
        <w:ind w:firstLineChars="0"/>
        <w:rPr>
          <w:rFonts w:hint="eastAsia" w:cs="Times New Roman"/>
          <w:lang w:val="en-US" w:eastAsia="zh-CN"/>
        </w:rPr>
      </w:pPr>
      <w:r>
        <w:rPr>
          <w:rFonts w:hint="eastAsia" w:cs="Times New Roman"/>
          <w:lang w:val="en-US" w:eastAsia="zh-CN"/>
        </w:rPr>
        <w:t>220（330）kV变压器最大反向负载率宜满足：</w:t>
      </w:r>
    </w:p>
    <w:p>
      <w:pPr>
        <w:pStyle w:val="120"/>
        <w:keepNext w:val="0"/>
        <w:keepLines w:val="0"/>
        <w:pageBreakBefore w:val="0"/>
        <w:numPr>
          <w:ilvl w:val="0"/>
          <w:numId w:val="26"/>
        </w:numPr>
        <w:kinsoku/>
        <w:wordWrap/>
        <w:overflowPunct/>
        <w:topLinePunct w:val="0"/>
        <w:autoSpaceDE/>
        <w:autoSpaceDN/>
        <w:bidi w:val="0"/>
        <w:snapToGrid/>
        <w:spacing w:line="240" w:lineRule="auto"/>
        <w:ind w:left="1260" w:leftChars="400" w:hanging="420" w:hangingChars="200"/>
        <w:rPr>
          <w:rFonts w:hint="eastAsia" w:cs="Times New Roman"/>
          <w:lang w:val="en-US" w:eastAsia="zh-CN"/>
        </w:rPr>
      </w:pPr>
      <w:r>
        <w:rPr>
          <w:rFonts w:hint="eastAsia" w:cs="Times New Roman"/>
          <w:lang w:val="en-US" w:eastAsia="zh-CN"/>
        </w:rPr>
        <w:t>当220（330）kV变电站仅有1台变压器在运时，</w:t>
      </w:r>
      <w:r>
        <w:rPr>
          <w:rFonts w:hint="eastAsia" w:cs="Times New Roman"/>
          <w:i/>
          <w:iCs/>
          <w:lang w:val="en-US" w:eastAsia="zh-CN"/>
        </w:rPr>
        <w:t>β</w:t>
      </w:r>
      <w:r>
        <w:rPr>
          <w:rFonts w:hint="eastAsia" w:cs="Times New Roman"/>
          <w:lang w:val="en-US" w:eastAsia="zh-CN"/>
        </w:rPr>
        <w:t>可取80%；</w:t>
      </w:r>
    </w:p>
    <w:p>
      <w:pPr>
        <w:pStyle w:val="120"/>
        <w:keepNext w:val="0"/>
        <w:keepLines w:val="0"/>
        <w:pageBreakBefore w:val="0"/>
        <w:numPr>
          <w:ilvl w:val="0"/>
          <w:numId w:val="26"/>
        </w:numPr>
        <w:kinsoku/>
        <w:wordWrap/>
        <w:overflowPunct/>
        <w:topLinePunct w:val="0"/>
        <w:autoSpaceDE/>
        <w:autoSpaceDN/>
        <w:bidi w:val="0"/>
        <w:snapToGrid/>
        <w:spacing w:line="240" w:lineRule="auto"/>
        <w:ind w:left="1260" w:leftChars="400" w:hanging="420" w:hangingChars="200"/>
        <w:rPr>
          <w:rFonts w:hint="eastAsia" w:cs="Times New Roman"/>
          <w:lang w:val="en-US" w:eastAsia="zh-CN"/>
        </w:rPr>
      </w:pPr>
      <w:r>
        <w:rPr>
          <w:rFonts w:hint="eastAsia" w:cs="Times New Roman"/>
          <w:lang w:val="en-US" w:eastAsia="zh-CN"/>
        </w:rPr>
        <w:t>当220（330）kV变电站有2台及以上变压器并列运行时，</w:t>
      </w:r>
      <w:r>
        <w:rPr>
          <w:rFonts w:hint="eastAsia" w:cs="Times New Roman"/>
          <w:i/>
          <w:iCs/>
          <w:lang w:val="en-US" w:eastAsia="zh-CN"/>
        </w:rPr>
        <w:t>β</w:t>
      </w:r>
      <w:r>
        <w:rPr>
          <w:rFonts w:hint="eastAsia" w:cs="Times New Roman"/>
          <w:i w:val="0"/>
          <w:iCs w:val="0"/>
          <w:lang w:val="en-US" w:eastAsia="zh-CN"/>
        </w:rPr>
        <w:t>取值</w:t>
      </w:r>
      <w:r>
        <w:rPr>
          <w:rFonts w:hint="eastAsia" w:cs="Times New Roman"/>
          <w:lang w:val="en-US" w:eastAsia="zh-CN"/>
        </w:rPr>
        <w:t>应符合GB 38755和DL/T 572的规定，可按照变压器N-1运行情况下变压器反向不过载取值；</w:t>
      </w:r>
    </w:p>
    <w:p>
      <w:pPr>
        <w:pStyle w:val="120"/>
        <w:keepNext w:val="0"/>
        <w:keepLines w:val="0"/>
        <w:pageBreakBefore w:val="0"/>
        <w:numPr>
          <w:ilvl w:val="0"/>
          <w:numId w:val="26"/>
        </w:numPr>
        <w:kinsoku/>
        <w:wordWrap/>
        <w:overflowPunct/>
        <w:topLinePunct w:val="0"/>
        <w:autoSpaceDE/>
        <w:autoSpaceDN/>
        <w:bidi w:val="0"/>
        <w:snapToGrid/>
        <w:spacing w:line="240" w:lineRule="auto"/>
        <w:ind w:left="1260" w:leftChars="400" w:hanging="420" w:hangingChars="200"/>
        <w:rPr>
          <w:rFonts w:hint="eastAsia" w:cs="Times New Roman"/>
          <w:lang w:val="en-US" w:eastAsia="zh-CN"/>
        </w:rPr>
      </w:pPr>
      <w:r>
        <w:rPr>
          <w:rFonts w:hint="eastAsia"/>
        </w:rPr>
        <w:t>在分布式新能源富集地区，当220（330）kV变压器采取分列运行或加装分布式电源联切安控装置时，可适当提高</w:t>
      </w:r>
      <w:r>
        <w:rPr>
          <w:rFonts w:hint="eastAsia"/>
          <w:i/>
          <w:iCs/>
        </w:rPr>
        <w:t>β</w:t>
      </w:r>
      <w:r>
        <w:rPr>
          <w:rFonts w:hint="eastAsia"/>
        </w:rPr>
        <w:t>取值</w:t>
      </w:r>
      <w:r>
        <w:rPr>
          <w:rFonts w:hint="eastAsia"/>
          <w:lang w:eastAsia="zh-CN"/>
        </w:rPr>
        <w:t>。</w:t>
      </w:r>
    </w:p>
    <w:p>
      <w:pPr>
        <w:pStyle w:val="120"/>
        <w:keepNext w:val="0"/>
        <w:keepLines w:val="0"/>
        <w:pageBreakBefore w:val="0"/>
        <w:numPr>
          <w:ilvl w:val="0"/>
          <w:numId w:val="25"/>
        </w:numPr>
        <w:kinsoku/>
        <w:wordWrap/>
        <w:overflowPunct/>
        <w:topLinePunct w:val="0"/>
        <w:bidi w:val="0"/>
        <w:snapToGrid/>
        <w:spacing w:line="240" w:lineRule="auto"/>
        <w:ind w:firstLineChars="0"/>
        <w:rPr>
          <w:rFonts w:hint="eastAsia" w:cs="Times New Roman"/>
          <w:lang w:val="en-US" w:eastAsia="zh-CN"/>
        </w:rPr>
      </w:pPr>
      <w:r>
        <w:rPr>
          <w:rFonts w:hint="eastAsia" w:cs="Times New Roman"/>
          <w:lang w:val="en-US" w:eastAsia="zh-CN"/>
        </w:rPr>
        <w:t>110（66）kV及以下变压器最大反向负载率宜满足：</w:t>
      </w:r>
    </w:p>
    <w:p>
      <w:pPr>
        <w:pStyle w:val="120"/>
        <w:keepNext w:val="0"/>
        <w:keepLines w:val="0"/>
        <w:pageBreakBefore w:val="0"/>
        <w:numPr>
          <w:ilvl w:val="0"/>
          <w:numId w:val="27"/>
        </w:numPr>
        <w:kinsoku/>
        <w:wordWrap/>
        <w:overflowPunct/>
        <w:topLinePunct w:val="0"/>
        <w:autoSpaceDE/>
        <w:autoSpaceDN/>
        <w:bidi w:val="0"/>
        <w:snapToGrid/>
        <w:spacing w:line="240" w:lineRule="auto"/>
        <w:ind w:left="1260" w:leftChars="400" w:hanging="420" w:hangingChars="200"/>
        <w:rPr>
          <w:rFonts w:hint="eastAsia" w:cs="Times New Roman"/>
          <w:lang w:val="en-US" w:eastAsia="zh-CN"/>
        </w:rPr>
      </w:pPr>
      <w:r>
        <w:rPr>
          <w:rFonts w:hint="eastAsia" w:cs="Times New Roman"/>
          <w:lang w:val="en-US" w:eastAsia="zh-CN"/>
        </w:rPr>
        <w:t>当110（66）kV及以下变压器分列运行时，</w:t>
      </w:r>
      <w:r>
        <w:rPr>
          <w:rFonts w:hint="eastAsia" w:cs="Times New Roman"/>
          <w:i/>
          <w:iCs/>
          <w:lang w:val="en-US" w:eastAsia="zh-CN"/>
        </w:rPr>
        <w:t>β</w:t>
      </w:r>
      <w:r>
        <w:rPr>
          <w:rFonts w:hint="eastAsia" w:cs="Times New Roman"/>
          <w:lang w:val="en-US" w:eastAsia="zh-CN"/>
        </w:rPr>
        <w:t>可取80%；</w:t>
      </w:r>
    </w:p>
    <w:p>
      <w:pPr>
        <w:pStyle w:val="120"/>
        <w:keepNext w:val="0"/>
        <w:keepLines w:val="0"/>
        <w:pageBreakBefore w:val="0"/>
        <w:numPr>
          <w:ilvl w:val="0"/>
          <w:numId w:val="27"/>
        </w:numPr>
        <w:kinsoku/>
        <w:wordWrap/>
        <w:overflowPunct/>
        <w:topLinePunct w:val="0"/>
        <w:autoSpaceDE/>
        <w:autoSpaceDN/>
        <w:bidi w:val="0"/>
        <w:snapToGrid/>
        <w:spacing w:line="240" w:lineRule="auto"/>
        <w:ind w:left="1260" w:leftChars="400" w:hanging="420" w:hangingChars="200"/>
        <w:rPr>
          <w:rFonts w:hint="eastAsia" w:cs="Times New Roman"/>
          <w:lang w:val="en-US" w:eastAsia="zh-CN"/>
        </w:rPr>
      </w:pPr>
      <w:r>
        <w:rPr>
          <w:rFonts w:hint="eastAsia" w:cs="Times New Roman"/>
          <w:lang w:val="en-US" w:eastAsia="zh-CN"/>
        </w:rPr>
        <w:t>当110（66）kV及以下变压器并列运行时，</w:t>
      </w:r>
      <w:r>
        <w:rPr>
          <w:rFonts w:hint="eastAsia" w:cs="Times New Roman"/>
          <w:i/>
          <w:iCs/>
          <w:lang w:val="en-US" w:eastAsia="zh-CN"/>
        </w:rPr>
        <w:t>β</w:t>
      </w:r>
      <w:r>
        <w:rPr>
          <w:rFonts w:hint="eastAsia" w:cs="Times New Roman"/>
          <w:i w:val="0"/>
          <w:iCs w:val="0"/>
          <w:lang w:val="en-US" w:eastAsia="zh-CN"/>
        </w:rPr>
        <w:t>取值</w:t>
      </w:r>
      <w:r>
        <w:rPr>
          <w:rFonts w:hint="eastAsia" w:cs="Times New Roman"/>
          <w:lang w:val="en-US" w:eastAsia="zh-CN"/>
        </w:rPr>
        <w:t>应符合GB 38755和DL/T 572的规定，可按照变压器N-1运行情况下变压器反向不过载取值。</w:t>
      </w:r>
    </w:p>
    <w:p>
      <w:pPr>
        <w:pStyle w:val="119"/>
        <w:widowControl/>
        <w:numPr>
          <w:ilvl w:val="0"/>
          <w:numId w:val="22"/>
        </w:numPr>
        <w:adjustRightInd/>
        <w:spacing w:before="312" w:beforeLines="100" w:after="312" w:afterLines="100" w:line="240" w:lineRule="auto"/>
        <w:textAlignment w:val="auto"/>
        <w:outlineLvl w:val="0"/>
        <w:rPr>
          <w:rFonts w:hint="eastAsia" w:hAnsi="Times New Roman" w:cs="Times New Roman"/>
          <w:lang w:val="en-US" w:eastAsia="zh-CN"/>
        </w:rPr>
      </w:pPr>
      <w:bookmarkStart w:id="199" w:name="_Toc15083"/>
      <w:bookmarkStart w:id="200" w:name="_Toc10094"/>
      <w:bookmarkStart w:id="201" w:name="_Toc12018"/>
      <w:bookmarkStart w:id="202" w:name="_Toc13772"/>
      <w:r>
        <w:rPr>
          <w:rFonts w:hint="eastAsia" w:hAnsi="Times New Roman" w:cs="Times New Roman"/>
          <w:lang w:val="en-US" w:eastAsia="zh-CN"/>
        </w:rPr>
        <w:t>承载力计算结果校核</w:t>
      </w:r>
      <w:bookmarkEnd w:id="199"/>
      <w:bookmarkEnd w:id="200"/>
      <w:bookmarkEnd w:id="201"/>
      <w:bookmarkEnd w:id="202"/>
    </w:p>
    <w:p>
      <w:pPr>
        <w:pStyle w:val="173"/>
        <w:keepNext w:val="0"/>
        <w:keepLines w:val="0"/>
        <w:pageBreakBefore w:val="0"/>
        <w:widowControl/>
        <w:numPr>
          <w:ilvl w:val="1"/>
          <w:numId w:val="22"/>
        </w:numPr>
        <w:kinsoku/>
        <w:wordWrap/>
        <w:overflowPunct/>
        <w:topLinePunct w:val="0"/>
        <w:autoSpaceDE/>
        <w:autoSpaceDN/>
        <w:bidi w:val="0"/>
        <w:adjustRightInd/>
        <w:snapToGrid/>
        <w:spacing w:line="240" w:lineRule="auto"/>
        <w:jc w:val="left"/>
        <w:textAlignment w:val="auto"/>
        <w:outlineLvl w:val="1"/>
        <w:rPr>
          <w:rFonts w:hint="eastAsia" w:ascii="宋体" w:hAnsi="宋体" w:eastAsia="宋体" w:cs="宋体"/>
          <w:szCs w:val="21"/>
        </w:rPr>
      </w:pPr>
      <w:r>
        <w:rPr>
          <w:rFonts w:hint="eastAsia" w:ascii="宋体" w:hAnsi="宋体" w:eastAsia="宋体"/>
          <w:szCs w:val="21"/>
          <w:lang w:val="en-US" w:eastAsia="zh-CN"/>
        </w:rPr>
        <w:t>承载力计算结果校核</w:t>
      </w:r>
      <w:r>
        <w:rPr>
          <w:rFonts w:hint="eastAsia" w:ascii="宋体" w:hAnsi="宋体" w:eastAsia="宋体" w:cs="宋体"/>
          <w:szCs w:val="21"/>
          <w:lang w:val="en-US" w:eastAsia="zh-CN"/>
        </w:rPr>
        <w:t>宜以县级行政区为单元，遵循局部服从整体原则，校核系统级承载力与设备级承载力计算结果。</w:t>
      </w:r>
    </w:p>
    <w:p>
      <w:pPr>
        <w:keepNext w:val="0"/>
        <w:keepLines w:val="0"/>
        <w:pageBreakBefore w:val="0"/>
        <w:widowControl/>
        <w:tabs>
          <w:tab w:val="center" w:pos="4201"/>
          <w:tab w:val="right" w:leader="dot" w:pos="9298"/>
        </w:tabs>
        <w:kinsoku/>
        <w:wordWrap/>
        <w:overflowPunct/>
        <w:topLinePunct w:val="0"/>
        <w:autoSpaceDE w:val="0"/>
        <w:autoSpaceDN w:val="0"/>
        <w:bidi w:val="0"/>
        <w:adjustRightInd/>
        <w:snapToGrid/>
        <w:spacing w:line="240" w:lineRule="auto"/>
        <w:ind w:left="743" w:leftChars="0" w:hanging="323" w:firstLineChars="0"/>
        <w:jc w:val="both"/>
        <w:textAlignment w:val="auto"/>
        <w:rPr>
          <w:rFonts w:hint="eastAsia" w:ascii="黑体" w:hAnsi="黑体" w:eastAsia="黑体" w:cs="黑体"/>
          <w:sz w:val="18"/>
          <w:szCs w:val="16"/>
          <w:lang w:val="en-US" w:eastAsia="zh-CN" w:bidi="ar-SA"/>
        </w:rPr>
      </w:pPr>
      <w:r>
        <w:rPr>
          <w:rFonts w:hint="eastAsia" w:ascii="黑体" w:hAnsi="黑体" w:eastAsia="黑体" w:cs="黑体"/>
          <w:sz w:val="18"/>
          <w:szCs w:val="16"/>
          <w:lang w:val="en-US" w:eastAsia="zh-CN" w:bidi="ar-SA"/>
        </w:rPr>
        <w:t>注：</w:t>
      </w:r>
      <w:r>
        <w:rPr>
          <w:rFonts w:hint="eastAsia" w:ascii="宋体" w:hAnsi="宋体" w:eastAsia="宋体" w:cs="宋体"/>
          <w:sz w:val="18"/>
          <w:szCs w:val="16"/>
          <w:lang w:val="en-US" w:eastAsia="zh-CN" w:bidi="ar-SA"/>
        </w:rPr>
        <w:t>局部服从整体指县级行政区</w:t>
      </w:r>
      <w:r>
        <w:rPr>
          <w:rFonts w:hint="eastAsia" w:ascii="宋体" w:hAnsi="宋体" w:cs="宋体"/>
          <w:sz w:val="18"/>
          <w:szCs w:val="16"/>
          <w:lang w:val="en-US" w:eastAsia="zh-CN" w:bidi="ar-SA"/>
        </w:rPr>
        <w:t>的</w:t>
      </w:r>
      <w:r>
        <w:rPr>
          <w:rFonts w:hint="eastAsia" w:ascii="宋体" w:hAnsi="宋体" w:eastAsia="宋体" w:cs="宋体"/>
          <w:sz w:val="18"/>
          <w:szCs w:val="16"/>
          <w:lang w:val="en-US" w:eastAsia="zh-CN" w:bidi="ar-SA"/>
        </w:rPr>
        <w:t>系统级承载力计算结果小于设备级承载力计算结果时，计算结果以系统级承载力计算结果为准。</w:t>
      </w:r>
    </w:p>
    <w:p>
      <w:pPr>
        <w:pStyle w:val="173"/>
        <w:keepNext w:val="0"/>
        <w:keepLines w:val="0"/>
        <w:pageBreakBefore w:val="0"/>
        <w:widowControl/>
        <w:numPr>
          <w:ilvl w:val="1"/>
          <w:numId w:val="22"/>
        </w:numPr>
        <w:kinsoku/>
        <w:wordWrap/>
        <w:overflowPunct/>
        <w:topLinePunct w:val="0"/>
        <w:autoSpaceDE/>
        <w:autoSpaceDN/>
        <w:bidi w:val="0"/>
        <w:adjustRightInd/>
        <w:snapToGrid/>
        <w:spacing w:line="240" w:lineRule="auto"/>
        <w:jc w:val="left"/>
        <w:textAlignment w:val="auto"/>
        <w:outlineLvl w:val="1"/>
        <w:rPr>
          <w:rFonts w:hint="eastAsia" w:ascii="宋体" w:hAnsi="宋体" w:eastAsia="宋体" w:cs="宋体"/>
          <w:szCs w:val="21"/>
        </w:rPr>
      </w:pPr>
      <w:r>
        <w:rPr>
          <w:rFonts w:hint="eastAsia" w:ascii="宋体" w:hAnsi="宋体" w:eastAsia="宋体" w:cs="宋体"/>
          <w:szCs w:val="21"/>
          <w:lang w:val="en-US" w:eastAsia="zh-CN"/>
        </w:rPr>
        <w:t>县级行政区的设备级承载力区间应为区内全部</w:t>
      </w:r>
      <w:r>
        <w:rPr>
          <w:rFonts w:hint="eastAsia" w:ascii="宋体" w:hAnsi="宋体" w:eastAsia="宋体" w:cs="宋体"/>
          <w:sz w:val="21"/>
          <w:szCs w:val="21"/>
          <w:lang w:val="en-US" w:eastAsia="zh-CN"/>
        </w:rPr>
        <w:t>220（330）kV变压器承载力区间之和。</w:t>
      </w:r>
    </w:p>
    <w:p>
      <w:pPr>
        <w:keepNext w:val="0"/>
        <w:keepLines w:val="0"/>
        <w:pageBreakBefore w:val="0"/>
        <w:widowControl/>
        <w:tabs>
          <w:tab w:val="center" w:pos="4201"/>
          <w:tab w:val="right" w:leader="dot" w:pos="9298"/>
        </w:tabs>
        <w:kinsoku/>
        <w:wordWrap/>
        <w:overflowPunct/>
        <w:topLinePunct w:val="0"/>
        <w:autoSpaceDE w:val="0"/>
        <w:autoSpaceDN w:val="0"/>
        <w:bidi w:val="0"/>
        <w:adjustRightInd/>
        <w:snapToGrid/>
        <w:spacing w:line="240" w:lineRule="auto"/>
        <w:ind w:left="754" w:leftChars="0" w:hanging="334" w:firstLineChars="0"/>
        <w:jc w:val="both"/>
        <w:textAlignment w:val="auto"/>
        <w:rPr>
          <w:rFonts w:hint="default"/>
          <w:lang w:val="en-US"/>
        </w:rPr>
      </w:pPr>
      <w:r>
        <w:rPr>
          <w:rFonts w:hint="eastAsia" w:ascii="黑体" w:hAnsi="黑体" w:eastAsia="黑体" w:cs="黑体"/>
          <w:sz w:val="18"/>
          <w:szCs w:val="16"/>
          <w:lang w:val="en-US" w:eastAsia="zh-CN" w:bidi="ar-SA"/>
        </w:rPr>
        <w:t>注：</w:t>
      </w:r>
      <w:r>
        <w:rPr>
          <w:rFonts w:hint="eastAsia" w:ascii="宋体" w:hAnsi="宋体" w:eastAsia="宋体" w:cs="宋体"/>
          <w:sz w:val="18"/>
          <w:szCs w:val="16"/>
          <w:lang w:val="en-US" w:eastAsia="zh-CN" w:bidi="ar-SA"/>
        </w:rPr>
        <w:t>区内220（330）kV变压器承载力不包括</w:t>
      </w:r>
      <w:r>
        <w:rPr>
          <w:rFonts w:hint="eastAsia" w:ascii="宋体" w:hAnsi="宋体" w:cs="宋体"/>
          <w:sz w:val="18"/>
          <w:szCs w:val="16"/>
          <w:lang w:val="en-US" w:eastAsia="zh-CN" w:bidi="ar-SA"/>
        </w:rPr>
        <w:t>该</w:t>
      </w:r>
      <w:r>
        <w:rPr>
          <w:rFonts w:hint="eastAsia" w:ascii="宋体" w:hAnsi="宋体" w:eastAsia="宋体" w:cs="宋体"/>
          <w:sz w:val="18"/>
          <w:szCs w:val="16"/>
          <w:lang w:val="en-US" w:eastAsia="zh-CN" w:bidi="ar-SA"/>
        </w:rPr>
        <w:t>220（330）kV变压器为区外供电的相应承载力。区内无220（330）kV变压器时，县级行政区承载力</w:t>
      </w:r>
      <w:r>
        <w:rPr>
          <w:rFonts w:hint="eastAsia" w:ascii="宋体" w:hAnsi="宋体" w:cs="宋体"/>
          <w:sz w:val="18"/>
          <w:szCs w:val="16"/>
          <w:lang w:val="en-US" w:eastAsia="zh-CN" w:bidi="ar-SA"/>
        </w:rPr>
        <w:t>按照</w:t>
      </w:r>
      <w:r>
        <w:rPr>
          <w:rFonts w:hint="eastAsia" w:ascii="宋体" w:hAnsi="宋体" w:eastAsia="宋体" w:cs="宋体"/>
          <w:sz w:val="18"/>
          <w:szCs w:val="16"/>
          <w:lang w:val="en-US" w:eastAsia="zh-CN" w:bidi="ar-SA"/>
        </w:rPr>
        <w:t>为本区供电的220（330）kV变压器的相应承载力计算，或</w:t>
      </w:r>
      <w:r>
        <w:rPr>
          <w:rFonts w:hint="eastAsia" w:ascii="宋体" w:hAnsi="宋体" w:cs="宋体"/>
          <w:sz w:val="18"/>
          <w:szCs w:val="16"/>
          <w:lang w:val="en-US" w:eastAsia="zh-CN" w:bidi="ar-SA"/>
        </w:rPr>
        <w:t>按照</w:t>
      </w:r>
      <w:r>
        <w:rPr>
          <w:rFonts w:hint="eastAsia" w:ascii="宋体" w:hAnsi="宋体" w:eastAsia="宋体" w:cs="宋体"/>
          <w:sz w:val="18"/>
          <w:szCs w:val="16"/>
          <w:lang w:val="en-US" w:eastAsia="zh-CN" w:bidi="ar-SA"/>
        </w:rPr>
        <w:t>该区内110（66）kV变压器承载力之和计算。</w:t>
      </w:r>
    </w:p>
    <w:p>
      <w:pPr>
        <w:pStyle w:val="173"/>
        <w:keepNext w:val="0"/>
        <w:keepLines w:val="0"/>
        <w:pageBreakBefore w:val="0"/>
        <w:widowControl/>
        <w:numPr>
          <w:ilvl w:val="1"/>
          <w:numId w:val="22"/>
        </w:numPr>
        <w:kinsoku/>
        <w:wordWrap/>
        <w:overflowPunct/>
        <w:topLinePunct w:val="0"/>
        <w:autoSpaceDE/>
        <w:autoSpaceDN/>
        <w:bidi w:val="0"/>
        <w:adjustRightInd/>
        <w:snapToGrid/>
        <w:spacing w:line="240" w:lineRule="auto"/>
        <w:jc w:val="left"/>
        <w:textAlignment w:val="auto"/>
        <w:outlineLvl w:val="1"/>
        <w:rPr>
          <w:rFonts w:hint="eastAsia" w:ascii="宋体" w:hAnsi="宋体" w:eastAsia="宋体" w:cs="宋体"/>
          <w:szCs w:val="21"/>
        </w:rPr>
      </w:pPr>
      <w:r>
        <w:rPr>
          <w:rFonts w:hint="eastAsia" w:ascii="宋体" w:hAnsi="宋体" w:eastAsia="宋体" w:cs="宋体"/>
          <w:szCs w:val="21"/>
          <w:lang w:val="en-US" w:eastAsia="zh-CN"/>
        </w:rPr>
        <w:t>县级行政区的分布式电源承载力区间应按照公式（2）校核：</w:t>
      </w:r>
    </w:p>
    <w:p>
      <w:pPr>
        <w:pStyle w:val="173"/>
        <w:keepNext w:val="0"/>
        <w:keepLines w:val="0"/>
        <w:pageBreakBefore w:val="0"/>
        <w:widowControl/>
        <w:numPr>
          <w:ilvl w:val="0"/>
          <w:numId w:val="0"/>
        </w:numPr>
        <w:kinsoku/>
        <w:wordWrap/>
        <w:overflowPunct/>
        <w:topLinePunct w:val="0"/>
        <w:autoSpaceDE/>
        <w:autoSpaceDN/>
        <w:bidi w:val="0"/>
        <w:adjustRightInd/>
        <w:snapToGrid/>
        <w:spacing w:line="240" w:lineRule="auto"/>
        <w:jc w:val="both"/>
        <w:textAlignment w:val="auto"/>
        <w:outlineLvl w:val="1"/>
        <w:rPr>
          <w:rStyle w:val="475"/>
          <w:rFonts w:hint="default" w:ascii="Times New Roman" w:hAnsi="Times New Roman" w:cs="Times New Roman"/>
          <w:bCs/>
          <w:lang w:eastAsia="zh-CN"/>
        </w:rPr>
      </w:pPr>
      <w:r>
        <w:rPr>
          <w:rFonts w:hint="eastAsia" w:ascii="Times New Roman" w:hAnsi="Times New Roman" w:eastAsia="方正仿宋_GBK" w:cs="Times New Roman"/>
          <w:b/>
          <w:bCs/>
          <w:kern w:val="2"/>
          <w:position w:val="-12"/>
          <w:sz w:val="32"/>
          <w:szCs w:val="32"/>
          <w:lang w:val="en-US" w:eastAsia="zh-CN" w:bidi="ar-SA"/>
        </w:rPr>
        <w:t xml:space="preserve">                  </w:t>
      </w:r>
      <w:r>
        <w:rPr>
          <w:rFonts w:hint="default" w:ascii="Times New Roman" w:hAnsi="Times New Roman" w:eastAsia="方正仿宋_GBK" w:cs="Times New Roman"/>
          <w:b/>
          <w:bCs/>
          <w:kern w:val="2"/>
          <w:position w:val="-12"/>
          <w:sz w:val="32"/>
          <w:szCs w:val="32"/>
          <w:lang w:val="en-US" w:eastAsia="zh-CN" w:bidi="ar-SA"/>
        </w:rPr>
        <w:object>
          <v:shape id="_x0000_i1030" o:spt="75" type="#_x0000_t75" style="height:16pt;width:183.6pt;" o:ole="t" filled="f" o:preferrelative="t" stroked="f" coordsize="21600,21600">
            <v:path/>
            <v:fill on="f" focussize="0,0"/>
            <v:stroke on="f"/>
            <v:imagedata r:id="rId26" o:title=""/>
            <o:lock v:ext="edit" aspectratio="t"/>
            <w10:wrap type="none"/>
            <w10:anchorlock/>
          </v:shape>
          <o:OLEObject Type="Embed" ProgID="Equation.KSEE3" ShapeID="_x0000_i1030" DrawAspect="Content" ObjectID="_1468075730" r:id="rId25">
            <o:LockedField>false</o:LockedField>
          </o:OLEObject>
        </w:object>
      </w:r>
      <w:r>
        <w:rPr>
          <w:rFonts w:hint="eastAsia" w:ascii="Times New Roman" w:hAnsi="Times New Roman" w:eastAsia="方正仿宋_GBK" w:cs="Times New Roman"/>
          <w:b/>
          <w:bCs/>
          <w:kern w:val="2"/>
          <w:position w:val="-12"/>
          <w:sz w:val="32"/>
          <w:szCs w:val="32"/>
          <w:lang w:val="en-US" w:eastAsia="zh-CN" w:bidi="ar-SA"/>
        </w:rPr>
        <w:t xml:space="preserve">               </w:t>
      </w:r>
      <w:r>
        <w:rPr>
          <w:rStyle w:val="475"/>
          <w:rFonts w:hint="default" w:ascii="Times New Roman" w:hAnsi="Times New Roman" w:cs="Times New Roman"/>
          <w:bCs/>
          <w:lang w:eastAsia="zh-CN"/>
        </w:rPr>
        <w:t>（</w:t>
      </w:r>
      <w:r>
        <w:rPr>
          <w:rStyle w:val="475"/>
          <w:rFonts w:hint="default" w:ascii="Times New Roman" w:hAnsi="Times New Roman" w:cs="Times New Roman"/>
          <w:bCs/>
          <w:lang w:val="en-US" w:eastAsia="zh-CN"/>
        </w:rPr>
        <w:t>2</w:t>
      </w:r>
      <w:r>
        <w:rPr>
          <w:rStyle w:val="475"/>
          <w:rFonts w:hint="default" w:ascii="Times New Roman" w:hAnsi="Times New Roman" w:cs="Times New Roman"/>
          <w:bCs/>
          <w:lang w:eastAsia="zh-CN"/>
        </w:rPr>
        <w:t>）</w:t>
      </w:r>
    </w:p>
    <w:p>
      <w:pPr>
        <w:pStyle w:val="120"/>
        <w:widowControl/>
        <w:tabs>
          <w:tab w:val="center" w:pos="4201"/>
          <w:tab w:val="right" w:leader="dot" w:pos="9298"/>
        </w:tabs>
        <w:adjustRightInd/>
        <w:spacing w:line="240" w:lineRule="auto"/>
        <w:ind w:firstLine="420"/>
        <w:jc w:val="both"/>
        <w:textAlignment w:val="auto"/>
        <w:rPr>
          <w:rFonts w:hint="default" w:ascii="宋体" w:hAnsi="Times New Roman" w:eastAsia="宋体" w:cs="Times New Roman"/>
          <w:lang w:val="en-US" w:eastAsia="zh-CN"/>
        </w:rPr>
      </w:pPr>
      <w:r>
        <w:rPr>
          <w:rFonts w:hint="eastAsia" w:ascii="宋体" w:hAnsi="Times New Roman" w:eastAsia="宋体" w:cs="Times New Roman"/>
          <w:lang w:val="en-US" w:eastAsia="zh-CN"/>
        </w:rPr>
        <w:t>式中：</w:t>
      </w:r>
    </w:p>
    <w:tbl>
      <w:tblPr>
        <w:tblStyle w:val="74"/>
        <w:tblW w:w="0" w:type="auto"/>
        <w:tblInd w:w="45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752"/>
        <w:gridCol w:w="647"/>
        <w:gridCol w:w="6303"/>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52" w:type="dxa"/>
            <w:tcBorders>
              <w:top w:val="nil"/>
              <w:left w:val="nil"/>
              <w:bottom w:val="nil"/>
              <w:right w:val="nil"/>
            </w:tcBorders>
            <w:noWrap w:val="0"/>
            <w:vAlign w:val="center"/>
          </w:tcPr>
          <w:p>
            <w:pPr>
              <w:keepNext w:val="0"/>
              <w:keepLines w:val="0"/>
              <w:pageBreakBefore w:val="0"/>
              <w:widowControl w:val="0"/>
              <w:suppressLineNumbers w:val="0"/>
              <w:tabs>
                <w:tab w:val="left" w:pos="854"/>
              </w:tabs>
              <w:kinsoku/>
              <w:wordWrap/>
              <w:overflowPunct/>
              <w:topLinePunct/>
              <w:autoSpaceDE w:val="0"/>
              <w:autoSpaceDN/>
              <w:bidi w:val="0"/>
              <w:adjustRightInd w:val="0"/>
              <w:snapToGrid w:val="0"/>
              <w:spacing w:before="0" w:beforeAutospacing="0" w:after="0" w:afterAutospacing="0" w:line="240" w:lineRule="auto"/>
              <w:ind w:left="0" w:right="0"/>
              <w:jc w:val="left"/>
              <w:textAlignment w:val="baseline"/>
              <w:rPr>
                <w:rFonts w:hint="eastAsia" w:ascii="Times New Roman" w:hAnsi="Times New Roman" w:eastAsia="宋体" w:cs="Times New Roman"/>
                <w:i/>
                <w:iCs/>
                <w:kern w:val="2"/>
                <w:sz w:val="21"/>
                <w:szCs w:val="21"/>
                <w:vertAlign w:val="subscript"/>
              </w:rPr>
            </w:pPr>
            <w:r>
              <w:rPr>
                <w:rFonts w:hint="eastAsia" w:ascii="Times New Roman" w:hAnsi="Times New Roman" w:eastAsia="宋体" w:cs="Times New Roman"/>
                <w:i/>
                <w:iCs/>
                <w:kern w:val="2"/>
                <w:position w:val="-10"/>
                <w:sz w:val="21"/>
                <w:szCs w:val="21"/>
                <w:vertAlign w:val="baseline"/>
                <w:lang w:val="en-US" w:eastAsia="zh-CN" w:bidi="ar"/>
              </w:rPr>
              <w:t>S</w:t>
            </w:r>
          </w:p>
        </w:tc>
        <w:tc>
          <w:tcPr>
            <w:tcW w:w="647" w:type="dxa"/>
            <w:tcBorders>
              <w:top w:val="nil"/>
              <w:left w:val="nil"/>
              <w:bottom w:val="nil"/>
              <w:right w:val="nil"/>
            </w:tcBorders>
            <w:noWrap w:val="0"/>
            <w:vAlign w:val="center"/>
          </w:tcPr>
          <w:p>
            <w:pPr>
              <w:keepNext w:val="0"/>
              <w:keepLines w:val="0"/>
              <w:pageBreakBefore w:val="0"/>
              <w:widowControl w:val="0"/>
              <w:suppressLineNumbers w:val="0"/>
              <w:kinsoku/>
              <w:wordWrap/>
              <w:overflowPunct/>
              <w:topLinePunct/>
              <w:autoSpaceDN/>
              <w:bidi w:val="0"/>
              <w:adjustRightInd w:val="0"/>
              <w:snapToGrid w:val="0"/>
              <w:spacing w:before="0" w:beforeAutospacing="0" w:after="0" w:afterAutospacing="0" w:line="240" w:lineRule="auto"/>
              <w:ind w:left="0" w:right="0"/>
              <w:rPr>
                <w:rFonts w:hint="default" w:ascii="Times New Roman" w:hAnsi="Times New Roman" w:cs="Times New Roman"/>
                <w:szCs w:val="20"/>
              </w:rPr>
            </w:pPr>
            <w:r>
              <w:rPr>
                <w:rFonts w:hint="default" w:ascii="Times New Roman" w:hAnsi="Times New Roman" w:cs="Times New Roman"/>
                <w:szCs w:val="20"/>
                <w:lang w:val="en-US" w:eastAsia="zh-CN"/>
              </w:rPr>
              <w:t>——</w:t>
            </w:r>
          </w:p>
        </w:tc>
        <w:tc>
          <w:tcPr>
            <w:tcW w:w="6303" w:type="dxa"/>
            <w:tcBorders>
              <w:top w:val="nil"/>
              <w:left w:val="nil"/>
              <w:bottom w:val="nil"/>
              <w:right w:val="nil"/>
            </w:tcBorders>
            <w:noWrap w:val="0"/>
            <w:vAlign w:val="center"/>
          </w:tcPr>
          <w:p>
            <w:pPr>
              <w:pStyle w:val="474"/>
              <w:keepNext w:val="0"/>
              <w:keepLines w:val="0"/>
              <w:pageBreakBefore w:val="0"/>
              <w:widowControl w:val="0"/>
              <w:suppressLineNumbers w:val="0"/>
              <w:kinsoku/>
              <w:wordWrap/>
              <w:overflowPunct/>
              <w:topLinePunct/>
              <w:autoSpaceDN/>
              <w:bidi w:val="0"/>
              <w:adjustRightInd w:val="0"/>
              <w:snapToGrid w:val="0"/>
              <w:spacing w:before="0" w:beforeAutospacing="0" w:after="0" w:afterAutospacing="0" w:line="240" w:lineRule="auto"/>
              <w:ind w:left="0" w:right="0"/>
              <w:rPr>
                <w:rFonts w:hint="default" w:ascii="Times New Roman" w:hAnsi="Times New Roman" w:cs="Times New Roman"/>
              </w:rPr>
            </w:pPr>
            <w:r>
              <w:rPr>
                <w:rFonts w:hint="eastAsia" w:ascii="宋体" w:hAnsi="宋体" w:eastAsia="宋体" w:cs="宋体"/>
                <w:szCs w:val="21"/>
                <w:lang w:val="en-US" w:eastAsia="zh-CN"/>
              </w:rPr>
              <w:t>县级行政区</w:t>
            </w:r>
            <w:r>
              <w:rPr>
                <w:rFonts w:hint="eastAsia" w:ascii="宋体" w:hAnsi="宋体" w:cs="宋体"/>
                <w:szCs w:val="21"/>
                <w:lang w:val="en-US" w:eastAsia="zh-CN"/>
              </w:rPr>
              <w:t>的</w:t>
            </w:r>
            <w:r>
              <w:rPr>
                <w:rFonts w:hint="default" w:ascii="Times New Roman" w:hAnsi="Times New Roman" w:cs="Times New Roman"/>
                <w:lang w:val="en-US" w:eastAsia="zh"/>
              </w:rPr>
              <w:t>分布式电源</w:t>
            </w:r>
            <w:r>
              <w:rPr>
                <w:rFonts w:hint="default" w:ascii="Times New Roman" w:hAnsi="Times New Roman" w:cs="Times New Roman"/>
                <w:lang w:val="en-US" w:eastAsia="zh-CN"/>
              </w:rPr>
              <w:t>承载力</w:t>
            </w:r>
            <w:r>
              <w:rPr>
                <w:rFonts w:hint="eastAsia" w:cs="Times New Roman"/>
                <w:lang w:val="en-US" w:eastAsia="zh-CN"/>
              </w:rPr>
              <w:t>区间校核结果</w:t>
            </w:r>
            <w:r>
              <w:rPr>
                <w:rFonts w:hint="default" w:ascii="Times New Roman" w:hAnsi="Times New Roman" w:cs="Times New Roman"/>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52" w:type="dxa"/>
            <w:tcBorders>
              <w:top w:val="nil"/>
              <w:left w:val="nil"/>
              <w:bottom w:val="nil"/>
              <w:right w:val="nil"/>
            </w:tcBorders>
            <w:noWrap w:val="0"/>
            <w:vAlign w:val="center"/>
          </w:tcPr>
          <w:p>
            <w:pPr>
              <w:keepNext w:val="0"/>
              <w:keepLines w:val="0"/>
              <w:pageBreakBefore w:val="0"/>
              <w:widowControl w:val="0"/>
              <w:suppressLineNumbers w:val="0"/>
              <w:tabs>
                <w:tab w:val="left" w:pos="854"/>
              </w:tabs>
              <w:kinsoku/>
              <w:wordWrap/>
              <w:overflowPunct/>
              <w:topLinePunct/>
              <w:autoSpaceDE w:val="0"/>
              <w:autoSpaceDN/>
              <w:bidi w:val="0"/>
              <w:adjustRightInd w:val="0"/>
              <w:snapToGrid w:val="0"/>
              <w:spacing w:before="0" w:beforeAutospacing="0" w:after="0" w:afterAutospacing="0" w:line="240" w:lineRule="auto"/>
              <w:ind w:left="0" w:leftChars="0" w:right="0" w:firstLine="0" w:firstLineChars="0"/>
              <w:jc w:val="left"/>
              <w:textAlignment w:val="baseline"/>
              <w:rPr>
                <w:rFonts w:hint="default" w:ascii="Times New Roman" w:hAnsi="Times New Roman" w:eastAsia="宋体" w:cs="Times New Roman"/>
                <w:i/>
                <w:iCs/>
                <w:kern w:val="2"/>
                <w:position w:val="-10"/>
                <w:sz w:val="21"/>
                <w:szCs w:val="21"/>
                <w:vertAlign w:val="baseline"/>
                <w:lang w:val="en-US" w:eastAsia="zh" w:bidi="ar"/>
              </w:rPr>
            </w:pPr>
            <w:r>
              <w:rPr>
                <w:rFonts w:hint="eastAsia" w:ascii="Times New Roman" w:hAnsi="Times New Roman" w:eastAsia="宋体" w:cs="Times New Roman"/>
                <w:i/>
                <w:iCs/>
                <w:kern w:val="2"/>
                <w:sz w:val="21"/>
                <w:szCs w:val="21"/>
                <w:vertAlign w:val="baseline"/>
                <w:lang w:val="en-US" w:eastAsia="zh-CN" w:bidi="ar"/>
              </w:rPr>
              <w:t>S</w:t>
            </w:r>
            <w:r>
              <w:rPr>
                <w:rFonts w:hint="eastAsia" w:ascii="Times New Roman" w:hAnsi="Times New Roman" w:eastAsia="宋体" w:cs="Times New Roman"/>
                <w:i/>
                <w:iCs/>
                <w:kern w:val="2"/>
                <w:sz w:val="21"/>
                <w:szCs w:val="21"/>
                <w:vertAlign w:val="subscript"/>
                <w:lang w:val="en-US" w:eastAsia="zh-CN" w:bidi="ar"/>
              </w:rPr>
              <w:t>S-</w:t>
            </w:r>
            <w:r>
              <w:rPr>
                <w:rFonts w:hint="default" w:ascii="Times New Roman" w:hAnsi="Times New Roman" w:eastAsia="宋体" w:cs="Times New Roman"/>
                <w:i/>
                <w:iCs/>
                <w:kern w:val="2"/>
                <w:sz w:val="21"/>
                <w:szCs w:val="21"/>
                <w:vertAlign w:val="subscript"/>
                <w:lang w:val="en-US" w:eastAsia="zh" w:bidi="ar"/>
              </w:rPr>
              <w:t>min</w:t>
            </w:r>
          </w:p>
        </w:tc>
        <w:tc>
          <w:tcPr>
            <w:tcW w:w="647" w:type="dxa"/>
            <w:tcBorders>
              <w:top w:val="nil"/>
              <w:left w:val="nil"/>
              <w:bottom w:val="nil"/>
              <w:right w:val="nil"/>
            </w:tcBorders>
            <w:noWrap w:val="0"/>
            <w:vAlign w:val="center"/>
          </w:tcPr>
          <w:p>
            <w:pPr>
              <w:keepNext w:val="0"/>
              <w:keepLines w:val="0"/>
              <w:pageBreakBefore w:val="0"/>
              <w:widowControl w:val="0"/>
              <w:suppressLineNumbers w:val="0"/>
              <w:kinsoku/>
              <w:wordWrap/>
              <w:overflowPunct/>
              <w:topLinePunct/>
              <w:autoSpaceDN/>
              <w:bidi w:val="0"/>
              <w:adjustRightInd w:val="0"/>
              <w:snapToGrid w:val="0"/>
              <w:spacing w:before="0" w:beforeAutospacing="0" w:after="0" w:afterAutospacing="0" w:line="240" w:lineRule="auto"/>
              <w:ind w:left="0" w:right="0"/>
              <w:rPr>
                <w:rFonts w:hint="default" w:ascii="Times New Roman" w:hAnsi="Times New Roman" w:cs="Times New Roman"/>
                <w:szCs w:val="20"/>
                <w:lang w:val="en-US" w:eastAsia="zh-CN"/>
              </w:rPr>
            </w:pPr>
            <w:r>
              <w:rPr>
                <w:rFonts w:hint="default" w:ascii="Times New Roman" w:hAnsi="Times New Roman" w:cs="Times New Roman"/>
                <w:szCs w:val="20"/>
                <w:lang w:val="en-US" w:eastAsia="zh-CN"/>
              </w:rPr>
              <w:t>——</w:t>
            </w:r>
          </w:p>
        </w:tc>
        <w:tc>
          <w:tcPr>
            <w:tcW w:w="6303" w:type="dxa"/>
            <w:tcBorders>
              <w:top w:val="nil"/>
              <w:left w:val="nil"/>
              <w:bottom w:val="nil"/>
              <w:right w:val="nil"/>
            </w:tcBorders>
            <w:noWrap w:val="0"/>
            <w:vAlign w:val="center"/>
          </w:tcPr>
          <w:p>
            <w:pPr>
              <w:pStyle w:val="474"/>
              <w:keepNext w:val="0"/>
              <w:keepLines w:val="0"/>
              <w:pageBreakBefore w:val="0"/>
              <w:widowControl w:val="0"/>
              <w:suppressLineNumbers w:val="0"/>
              <w:kinsoku/>
              <w:wordWrap/>
              <w:overflowPunct/>
              <w:topLinePunct/>
              <w:autoSpaceDN/>
              <w:bidi w:val="0"/>
              <w:adjustRightInd w:val="0"/>
              <w:snapToGrid w:val="0"/>
              <w:spacing w:before="0" w:beforeAutospacing="0" w:after="0" w:afterAutospacing="0" w:line="240" w:lineRule="auto"/>
              <w:ind w:left="0" w:right="0"/>
              <w:rPr>
                <w:rFonts w:hint="default" w:ascii="Times New Roman" w:hAnsi="Times New Roman" w:cs="Times New Roman"/>
                <w:lang w:val="en-US" w:eastAsia="zh"/>
              </w:rPr>
            </w:pPr>
            <w:r>
              <w:rPr>
                <w:rFonts w:hint="eastAsia" w:ascii="宋体" w:hAnsi="宋体" w:eastAsia="宋体" w:cs="宋体"/>
                <w:szCs w:val="21"/>
                <w:lang w:val="en-US" w:eastAsia="zh-CN"/>
              </w:rPr>
              <w:t>县级行政区</w:t>
            </w:r>
            <w:r>
              <w:rPr>
                <w:rFonts w:hint="eastAsia" w:ascii="宋体" w:hAnsi="宋体" w:cs="宋体"/>
                <w:szCs w:val="21"/>
                <w:lang w:val="en-US" w:eastAsia="zh-CN"/>
              </w:rPr>
              <w:t>的</w:t>
            </w:r>
            <w:r>
              <w:rPr>
                <w:rFonts w:hint="default" w:ascii="Times New Roman" w:hAnsi="Times New Roman" w:cs="Times New Roman"/>
                <w:lang w:val="en-US" w:eastAsia="zh-CN"/>
              </w:rPr>
              <w:t>系统级承载力</w:t>
            </w:r>
            <w:r>
              <w:rPr>
                <w:rFonts w:hint="eastAsia" w:cs="Times New Roman"/>
                <w:lang w:val="en-US" w:eastAsia="zh-CN"/>
              </w:rPr>
              <w:t>区间</w:t>
            </w:r>
            <w:r>
              <w:rPr>
                <w:rFonts w:hint="default" w:ascii="Times New Roman" w:hAnsi="Times New Roman" w:cs="Times New Roman"/>
                <w:lang w:val="en-US" w:eastAsia="zh"/>
              </w:rPr>
              <w:t>下</w:t>
            </w:r>
            <w:r>
              <w:rPr>
                <w:rFonts w:hint="default" w:ascii="Times New Roman" w:hAnsi="Times New Roman" w:cs="Times New Roman"/>
                <w:lang w:val="en-US" w:eastAsia="zh-CN"/>
              </w:rPr>
              <w:t>限</w:t>
            </w:r>
            <w:r>
              <w:rPr>
                <w:rFonts w:hint="default" w:ascii="Times New Roman" w:hAnsi="Times New Roman" w:cs="Times New Roman"/>
                <w:lang w:val="en-US" w:eastAsia="zh"/>
              </w:rPr>
              <w:t>值</w:t>
            </w:r>
            <w:r>
              <w:rPr>
                <w:rFonts w:hint="default" w:ascii="Times New Roman" w:hAnsi="Times New Roman" w:cs="Times New Roman"/>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52" w:type="dxa"/>
            <w:tcBorders>
              <w:top w:val="nil"/>
              <w:left w:val="nil"/>
              <w:bottom w:val="nil"/>
              <w:right w:val="nil"/>
            </w:tcBorders>
            <w:shd w:val="clear" w:color="auto" w:fill="auto"/>
            <w:noWrap w:val="0"/>
            <w:vAlign w:val="center"/>
          </w:tcPr>
          <w:p>
            <w:pPr>
              <w:keepNext w:val="0"/>
              <w:keepLines w:val="0"/>
              <w:pageBreakBefore w:val="0"/>
              <w:widowControl w:val="0"/>
              <w:suppressLineNumbers w:val="0"/>
              <w:tabs>
                <w:tab w:val="left" w:pos="854"/>
              </w:tabs>
              <w:kinsoku/>
              <w:wordWrap/>
              <w:overflowPunct/>
              <w:topLinePunct/>
              <w:autoSpaceDE w:val="0"/>
              <w:autoSpaceDN/>
              <w:bidi w:val="0"/>
              <w:adjustRightInd w:val="0"/>
              <w:snapToGrid w:val="0"/>
              <w:spacing w:before="0" w:beforeAutospacing="0" w:after="0" w:afterAutospacing="0" w:line="240" w:lineRule="auto"/>
              <w:ind w:left="0" w:leftChars="0" w:right="0" w:rightChars="0"/>
              <w:jc w:val="left"/>
              <w:textAlignment w:val="baseline"/>
              <w:rPr>
                <w:rFonts w:hint="eastAsia" w:ascii="Times New Roman" w:hAnsi="Times New Roman" w:eastAsia="宋体" w:cs="Times New Roman"/>
                <w:i/>
                <w:iCs/>
                <w:kern w:val="2"/>
                <w:sz w:val="21"/>
                <w:szCs w:val="21"/>
                <w:vertAlign w:val="baseline"/>
                <w:lang w:val="en-US" w:eastAsia="zh-CN" w:bidi="ar-SA"/>
              </w:rPr>
            </w:pPr>
            <w:r>
              <w:rPr>
                <w:rFonts w:hint="eastAsia" w:ascii="Times New Roman" w:hAnsi="Times New Roman" w:eastAsia="宋体" w:cs="Times New Roman"/>
                <w:i/>
                <w:iCs/>
                <w:kern w:val="2"/>
                <w:sz w:val="21"/>
                <w:szCs w:val="21"/>
                <w:vertAlign w:val="baseline"/>
                <w:lang w:val="en-US" w:eastAsia="zh-CN" w:bidi="ar"/>
              </w:rPr>
              <w:t>S</w:t>
            </w:r>
            <w:r>
              <w:rPr>
                <w:rFonts w:hint="eastAsia" w:ascii="Times New Roman" w:hAnsi="Times New Roman" w:eastAsia="宋体" w:cs="Times New Roman"/>
                <w:i/>
                <w:iCs/>
                <w:kern w:val="2"/>
                <w:sz w:val="21"/>
                <w:szCs w:val="21"/>
                <w:vertAlign w:val="subscript"/>
                <w:lang w:val="en-US" w:eastAsia="zh-CN" w:bidi="ar"/>
              </w:rPr>
              <w:t>S-</w:t>
            </w:r>
            <w:r>
              <w:rPr>
                <w:rFonts w:hint="default" w:ascii="Times New Roman" w:hAnsi="Times New Roman" w:eastAsia="宋体" w:cs="Times New Roman"/>
                <w:i/>
                <w:iCs/>
                <w:kern w:val="2"/>
                <w:sz w:val="21"/>
                <w:szCs w:val="21"/>
                <w:vertAlign w:val="subscript"/>
                <w:lang w:val="en-US" w:eastAsia="zh-CN" w:bidi="ar"/>
              </w:rPr>
              <w:t>max</w:t>
            </w:r>
          </w:p>
        </w:tc>
        <w:tc>
          <w:tcPr>
            <w:tcW w:w="647" w:type="dxa"/>
            <w:tcBorders>
              <w:top w:val="nil"/>
              <w:left w:val="nil"/>
              <w:bottom w:val="nil"/>
              <w:right w:val="nil"/>
            </w:tcBorders>
            <w:shd w:val="clear" w:color="auto" w:fill="auto"/>
            <w:noWrap w:val="0"/>
            <w:vAlign w:val="center"/>
          </w:tcPr>
          <w:p>
            <w:pPr>
              <w:keepNext w:val="0"/>
              <w:keepLines w:val="0"/>
              <w:pageBreakBefore w:val="0"/>
              <w:widowControl w:val="0"/>
              <w:suppressLineNumbers w:val="0"/>
              <w:kinsoku/>
              <w:wordWrap/>
              <w:overflowPunct/>
              <w:topLinePunct/>
              <w:autoSpaceDN/>
              <w:bidi w:val="0"/>
              <w:adjustRightInd w:val="0"/>
              <w:snapToGrid w:val="0"/>
              <w:spacing w:before="0" w:beforeAutospacing="0" w:after="0" w:afterAutospacing="0" w:line="240" w:lineRule="auto"/>
              <w:ind w:left="0" w:leftChars="0" w:right="0" w:rightChars="0"/>
              <w:rPr>
                <w:rFonts w:hint="default" w:ascii="Times New Roman" w:hAnsi="Times New Roman" w:eastAsia="宋体" w:cs="Times New Roman"/>
                <w:kern w:val="2"/>
                <w:sz w:val="21"/>
                <w:szCs w:val="20"/>
                <w:lang w:val="en-US" w:eastAsia="zh-CN" w:bidi="ar-SA"/>
              </w:rPr>
            </w:pPr>
            <w:r>
              <w:rPr>
                <w:rFonts w:hint="default" w:ascii="Times New Roman" w:hAnsi="Times New Roman" w:cs="Times New Roman"/>
                <w:szCs w:val="20"/>
                <w:lang w:val="en-US" w:eastAsia="zh-CN"/>
              </w:rPr>
              <w:t>——</w:t>
            </w:r>
          </w:p>
        </w:tc>
        <w:tc>
          <w:tcPr>
            <w:tcW w:w="6303" w:type="dxa"/>
            <w:tcBorders>
              <w:top w:val="nil"/>
              <w:left w:val="nil"/>
              <w:bottom w:val="nil"/>
              <w:right w:val="nil"/>
            </w:tcBorders>
            <w:shd w:val="clear" w:color="auto" w:fill="auto"/>
            <w:noWrap w:val="0"/>
            <w:vAlign w:val="center"/>
          </w:tcPr>
          <w:p>
            <w:pPr>
              <w:pStyle w:val="474"/>
              <w:keepNext w:val="0"/>
              <w:keepLines w:val="0"/>
              <w:pageBreakBefore w:val="0"/>
              <w:widowControl w:val="0"/>
              <w:suppressLineNumbers w:val="0"/>
              <w:kinsoku/>
              <w:wordWrap/>
              <w:overflowPunct/>
              <w:topLinePunct/>
              <w:autoSpaceDN/>
              <w:bidi w:val="0"/>
              <w:adjustRightInd w:val="0"/>
              <w:snapToGrid w:val="0"/>
              <w:spacing w:before="0" w:beforeAutospacing="0" w:after="0" w:afterAutospacing="0" w:line="240" w:lineRule="auto"/>
              <w:ind w:left="0" w:leftChars="0" w:right="0" w:rightChars="0"/>
              <w:rPr>
                <w:rFonts w:hint="eastAsia" w:ascii="Times New Roman" w:hAnsi="Times New Roman" w:eastAsia="宋体" w:cs="Times New Roman"/>
                <w:bCs/>
                <w:color w:val="000000"/>
                <w:spacing w:val="-2"/>
                <w:kern w:val="11"/>
                <w:sz w:val="21"/>
                <w:szCs w:val="21"/>
                <w:lang w:val="en-US" w:eastAsia="zh-CN" w:bidi="ar-SA"/>
              </w:rPr>
            </w:pPr>
            <w:r>
              <w:rPr>
                <w:rFonts w:hint="eastAsia" w:ascii="宋体" w:hAnsi="宋体" w:eastAsia="宋体" w:cs="宋体"/>
                <w:szCs w:val="21"/>
                <w:lang w:val="en-US" w:eastAsia="zh-CN"/>
              </w:rPr>
              <w:t>县级行政区</w:t>
            </w:r>
            <w:r>
              <w:rPr>
                <w:rFonts w:hint="eastAsia" w:ascii="宋体" w:hAnsi="宋体" w:cs="宋体"/>
                <w:szCs w:val="21"/>
                <w:lang w:val="en-US" w:eastAsia="zh-CN"/>
              </w:rPr>
              <w:t>的</w:t>
            </w:r>
            <w:r>
              <w:rPr>
                <w:rFonts w:hint="default" w:ascii="Times New Roman" w:hAnsi="Times New Roman" w:cs="Times New Roman"/>
                <w:lang w:val="en-US" w:eastAsia="zh-CN"/>
              </w:rPr>
              <w:t>系统级承载力</w:t>
            </w:r>
            <w:r>
              <w:rPr>
                <w:rFonts w:hint="eastAsia" w:cs="Times New Roman"/>
                <w:lang w:val="en-US" w:eastAsia="zh-CN"/>
              </w:rPr>
              <w:t>区间</w:t>
            </w:r>
            <w:r>
              <w:rPr>
                <w:rFonts w:hint="default" w:ascii="Times New Roman" w:hAnsi="Times New Roman" w:cs="Times New Roman"/>
                <w:lang w:val="en-US" w:eastAsia="zh-CN"/>
              </w:rPr>
              <w:t>上限</w:t>
            </w:r>
            <w:r>
              <w:rPr>
                <w:rFonts w:hint="default" w:ascii="Times New Roman" w:hAnsi="Times New Roman" w:cs="Times New Roman"/>
                <w:lang w:val="en-US" w:eastAsia="zh"/>
              </w:rPr>
              <w:t>值</w:t>
            </w:r>
            <w:r>
              <w:rPr>
                <w:rFonts w:hint="default" w:ascii="Times New Roman" w:hAnsi="Times New Roman" w:cs="Times New Roman"/>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52" w:type="dxa"/>
            <w:tcBorders>
              <w:top w:val="nil"/>
              <w:left w:val="nil"/>
              <w:bottom w:val="nil"/>
              <w:right w:val="nil"/>
            </w:tcBorders>
            <w:noWrap w:val="0"/>
            <w:vAlign w:val="center"/>
          </w:tcPr>
          <w:p>
            <w:pPr>
              <w:keepNext w:val="0"/>
              <w:keepLines w:val="0"/>
              <w:pageBreakBefore w:val="0"/>
              <w:widowControl w:val="0"/>
              <w:suppressLineNumbers w:val="0"/>
              <w:tabs>
                <w:tab w:val="left" w:pos="854"/>
              </w:tabs>
              <w:kinsoku/>
              <w:wordWrap/>
              <w:overflowPunct/>
              <w:topLinePunct/>
              <w:autoSpaceDE w:val="0"/>
              <w:autoSpaceDN/>
              <w:bidi w:val="0"/>
              <w:adjustRightInd w:val="0"/>
              <w:snapToGrid w:val="0"/>
              <w:spacing w:before="0" w:beforeAutospacing="0" w:after="0" w:afterAutospacing="0" w:line="240" w:lineRule="auto"/>
              <w:ind w:left="0" w:leftChars="0" w:right="0" w:firstLine="0" w:firstLineChars="0"/>
              <w:jc w:val="left"/>
              <w:textAlignment w:val="baseline"/>
              <w:rPr>
                <w:rFonts w:hint="default" w:ascii="Times New Roman" w:hAnsi="Times New Roman" w:eastAsia="宋体" w:cs="Times New Roman"/>
                <w:i/>
                <w:iCs/>
                <w:kern w:val="2"/>
                <w:sz w:val="21"/>
                <w:szCs w:val="21"/>
                <w:vertAlign w:val="baseline"/>
                <w:lang w:val="en-US" w:eastAsia="zh" w:bidi="ar"/>
              </w:rPr>
            </w:pPr>
            <w:r>
              <w:rPr>
                <w:rFonts w:hint="eastAsia" w:ascii="Times New Roman" w:hAnsi="Times New Roman" w:eastAsia="宋体" w:cs="Times New Roman"/>
                <w:i/>
                <w:iCs/>
                <w:kern w:val="2"/>
                <w:sz w:val="21"/>
                <w:szCs w:val="21"/>
                <w:vertAlign w:val="baseline"/>
                <w:lang w:val="en-US" w:eastAsia="zh-CN" w:bidi="ar"/>
              </w:rPr>
              <w:t>S</w:t>
            </w:r>
            <w:r>
              <w:rPr>
                <w:rFonts w:hint="eastAsia" w:ascii="Times New Roman" w:hAnsi="Times New Roman" w:eastAsia="宋体" w:cs="Times New Roman"/>
                <w:i/>
                <w:iCs/>
                <w:kern w:val="2"/>
                <w:sz w:val="21"/>
                <w:szCs w:val="21"/>
                <w:vertAlign w:val="subscript"/>
                <w:lang w:val="en-US" w:eastAsia="zh-CN" w:bidi="ar"/>
              </w:rPr>
              <w:t>D-</w:t>
            </w:r>
            <w:r>
              <w:rPr>
                <w:rFonts w:hint="default" w:ascii="Times New Roman" w:hAnsi="Times New Roman" w:eastAsia="宋体" w:cs="Times New Roman"/>
                <w:i/>
                <w:iCs/>
                <w:kern w:val="2"/>
                <w:sz w:val="21"/>
                <w:szCs w:val="21"/>
                <w:vertAlign w:val="subscript"/>
                <w:lang w:val="en-US" w:eastAsia="zh" w:bidi="ar"/>
              </w:rPr>
              <w:t>min</w:t>
            </w:r>
          </w:p>
        </w:tc>
        <w:tc>
          <w:tcPr>
            <w:tcW w:w="647" w:type="dxa"/>
            <w:tcBorders>
              <w:top w:val="nil"/>
              <w:left w:val="nil"/>
              <w:bottom w:val="nil"/>
              <w:right w:val="nil"/>
            </w:tcBorders>
            <w:noWrap w:val="0"/>
            <w:vAlign w:val="center"/>
          </w:tcPr>
          <w:p>
            <w:pPr>
              <w:keepNext w:val="0"/>
              <w:keepLines w:val="0"/>
              <w:pageBreakBefore w:val="0"/>
              <w:widowControl w:val="0"/>
              <w:suppressLineNumbers w:val="0"/>
              <w:kinsoku/>
              <w:wordWrap/>
              <w:overflowPunct/>
              <w:topLinePunct/>
              <w:autoSpaceDN/>
              <w:bidi w:val="0"/>
              <w:adjustRightInd w:val="0"/>
              <w:snapToGrid w:val="0"/>
              <w:spacing w:before="0" w:beforeAutospacing="0" w:after="0" w:afterAutospacing="0" w:line="240" w:lineRule="auto"/>
              <w:ind w:left="0" w:right="0"/>
              <w:rPr>
                <w:rFonts w:hint="default" w:ascii="Times New Roman" w:hAnsi="Times New Roman" w:cs="Times New Roman"/>
                <w:szCs w:val="20"/>
                <w:lang w:val="en-US" w:eastAsia="zh-CN"/>
              </w:rPr>
            </w:pPr>
            <w:r>
              <w:rPr>
                <w:rFonts w:hint="default" w:ascii="Times New Roman" w:hAnsi="Times New Roman" w:cs="Times New Roman"/>
                <w:szCs w:val="20"/>
                <w:lang w:val="en-US" w:eastAsia="zh-CN"/>
              </w:rPr>
              <w:t>——</w:t>
            </w:r>
          </w:p>
        </w:tc>
        <w:tc>
          <w:tcPr>
            <w:tcW w:w="6303" w:type="dxa"/>
            <w:tcBorders>
              <w:top w:val="nil"/>
              <w:left w:val="nil"/>
              <w:bottom w:val="nil"/>
              <w:right w:val="nil"/>
            </w:tcBorders>
            <w:noWrap w:val="0"/>
            <w:vAlign w:val="center"/>
          </w:tcPr>
          <w:p>
            <w:pPr>
              <w:pStyle w:val="474"/>
              <w:keepNext w:val="0"/>
              <w:keepLines w:val="0"/>
              <w:pageBreakBefore w:val="0"/>
              <w:widowControl w:val="0"/>
              <w:suppressLineNumbers w:val="0"/>
              <w:kinsoku/>
              <w:wordWrap/>
              <w:overflowPunct/>
              <w:topLinePunct/>
              <w:autoSpaceDN/>
              <w:bidi w:val="0"/>
              <w:adjustRightInd w:val="0"/>
              <w:snapToGrid w:val="0"/>
              <w:spacing w:before="0" w:beforeAutospacing="0" w:after="0" w:afterAutospacing="0" w:line="240" w:lineRule="auto"/>
              <w:ind w:left="0" w:right="0"/>
              <w:rPr>
                <w:rFonts w:hint="default" w:ascii="Times New Roman" w:hAnsi="Times New Roman" w:cs="Times New Roman"/>
                <w:lang w:val="en-US" w:eastAsia="zh"/>
              </w:rPr>
            </w:pPr>
            <w:r>
              <w:rPr>
                <w:rFonts w:hint="eastAsia" w:ascii="宋体" w:hAnsi="宋体" w:eastAsia="宋体" w:cs="宋体"/>
                <w:szCs w:val="21"/>
                <w:lang w:val="en-US" w:eastAsia="zh-CN"/>
              </w:rPr>
              <w:t>县级行政区</w:t>
            </w:r>
            <w:r>
              <w:rPr>
                <w:rFonts w:hint="eastAsia" w:ascii="宋体" w:hAnsi="宋体" w:cs="宋体"/>
                <w:szCs w:val="21"/>
                <w:lang w:val="en-US" w:eastAsia="zh-CN"/>
              </w:rPr>
              <w:t>的</w:t>
            </w:r>
            <w:r>
              <w:rPr>
                <w:rFonts w:hint="default" w:ascii="Times New Roman" w:hAnsi="Times New Roman" w:cs="Times New Roman"/>
                <w:lang w:val="en-US" w:eastAsia="zh"/>
              </w:rPr>
              <w:t>设备</w:t>
            </w:r>
            <w:r>
              <w:rPr>
                <w:rFonts w:hint="default" w:ascii="Times New Roman" w:hAnsi="Times New Roman" w:cs="Times New Roman"/>
                <w:lang w:val="en-US" w:eastAsia="zh-CN"/>
              </w:rPr>
              <w:t>级</w:t>
            </w:r>
            <w:r>
              <w:rPr>
                <w:rFonts w:hint="default" w:ascii="Times New Roman" w:hAnsi="Times New Roman" w:cs="Times New Roman"/>
                <w:lang w:val="en-US" w:eastAsia="zh"/>
              </w:rPr>
              <w:t>承载力</w:t>
            </w:r>
            <w:r>
              <w:rPr>
                <w:rFonts w:hint="eastAsia" w:cs="Times New Roman"/>
                <w:lang w:val="en-US" w:eastAsia="zh-CN"/>
              </w:rPr>
              <w:t>区间</w:t>
            </w:r>
            <w:r>
              <w:rPr>
                <w:rFonts w:hint="default" w:ascii="Times New Roman" w:hAnsi="Times New Roman" w:cs="Times New Roman"/>
                <w:lang w:val="en-US" w:eastAsia="zh"/>
              </w:rPr>
              <w:t>下</w:t>
            </w:r>
            <w:r>
              <w:rPr>
                <w:rFonts w:hint="default" w:ascii="Times New Roman" w:hAnsi="Times New Roman" w:cs="Times New Roman"/>
                <w:lang w:val="en-US" w:eastAsia="zh-CN"/>
              </w:rPr>
              <w:t>限</w:t>
            </w:r>
            <w:r>
              <w:rPr>
                <w:rFonts w:hint="default" w:ascii="Times New Roman" w:hAnsi="Times New Roman" w:cs="Times New Roman"/>
                <w:lang w:val="en-US" w:eastAsia="zh"/>
              </w:rPr>
              <w:t>值；</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97" w:hRule="atLeast"/>
        </w:trPr>
        <w:tc>
          <w:tcPr>
            <w:tcW w:w="752" w:type="dxa"/>
            <w:tcBorders>
              <w:top w:val="nil"/>
              <w:left w:val="nil"/>
              <w:bottom w:val="nil"/>
              <w:right w:val="nil"/>
            </w:tcBorders>
            <w:noWrap w:val="0"/>
            <w:vAlign w:val="center"/>
          </w:tcPr>
          <w:p>
            <w:pPr>
              <w:keepNext w:val="0"/>
              <w:keepLines w:val="0"/>
              <w:pageBreakBefore w:val="0"/>
              <w:widowControl w:val="0"/>
              <w:suppressLineNumbers w:val="0"/>
              <w:tabs>
                <w:tab w:val="left" w:pos="854"/>
              </w:tabs>
              <w:kinsoku/>
              <w:wordWrap/>
              <w:overflowPunct/>
              <w:topLinePunct/>
              <w:autoSpaceDE w:val="0"/>
              <w:autoSpaceDN/>
              <w:bidi w:val="0"/>
              <w:adjustRightInd w:val="0"/>
              <w:snapToGrid w:val="0"/>
              <w:spacing w:before="0" w:beforeAutospacing="0" w:after="0" w:afterAutospacing="0" w:line="240" w:lineRule="auto"/>
              <w:ind w:left="0" w:right="0"/>
              <w:jc w:val="left"/>
              <w:textAlignment w:val="baseline"/>
              <w:rPr>
                <w:rFonts w:hint="default" w:ascii="Times New Roman" w:hAnsi="Times New Roman" w:eastAsia="宋体" w:cs="Times New Roman"/>
                <w:i/>
                <w:iCs/>
                <w:kern w:val="2"/>
                <w:sz w:val="21"/>
                <w:szCs w:val="21"/>
                <w:vertAlign w:val="baseline"/>
              </w:rPr>
            </w:pPr>
            <w:r>
              <w:rPr>
                <w:rFonts w:hint="eastAsia" w:ascii="Times New Roman" w:hAnsi="Times New Roman" w:eastAsia="宋体" w:cs="Times New Roman"/>
                <w:i/>
                <w:iCs/>
                <w:kern w:val="2"/>
                <w:sz w:val="21"/>
                <w:szCs w:val="21"/>
                <w:vertAlign w:val="baseline"/>
                <w:lang w:val="en-US" w:eastAsia="zh-CN" w:bidi="ar"/>
              </w:rPr>
              <w:t>S</w:t>
            </w:r>
            <w:r>
              <w:rPr>
                <w:rFonts w:hint="eastAsia" w:ascii="Times New Roman" w:hAnsi="Times New Roman" w:eastAsia="宋体" w:cs="Times New Roman"/>
                <w:i/>
                <w:iCs/>
                <w:kern w:val="2"/>
                <w:sz w:val="21"/>
                <w:szCs w:val="21"/>
                <w:vertAlign w:val="subscript"/>
                <w:lang w:val="en-US" w:eastAsia="zh-CN" w:bidi="ar"/>
              </w:rPr>
              <w:t>D-</w:t>
            </w:r>
            <w:r>
              <w:rPr>
                <w:rFonts w:hint="default" w:ascii="Times New Roman" w:hAnsi="Times New Roman" w:eastAsia="宋体" w:cs="Times New Roman"/>
                <w:i/>
                <w:iCs/>
                <w:kern w:val="2"/>
                <w:sz w:val="21"/>
                <w:szCs w:val="21"/>
                <w:vertAlign w:val="subscript"/>
                <w:lang w:val="en-US" w:eastAsia="zh-CN" w:bidi="ar"/>
              </w:rPr>
              <w:t>max</w:t>
            </w:r>
          </w:p>
        </w:tc>
        <w:tc>
          <w:tcPr>
            <w:tcW w:w="647" w:type="dxa"/>
            <w:tcBorders>
              <w:top w:val="nil"/>
              <w:left w:val="nil"/>
              <w:bottom w:val="nil"/>
              <w:right w:val="nil"/>
            </w:tcBorders>
            <w:noWrap w:val="0"/>
            <w:vAlign w:val="center"/>
          </w:tcPr>
          <w:p>
            <w:pPr>
              <w:keepNext w:val="0"/>
              <w:keepLines w:val="0"/>
              <w:pageBreakBefore w:val="0"/>
              <w:widowControl w:val="0"/>
              <w:suppressLineNumbers w:val="0"/>
              <w:kinsoku/>
              <w:wordWrap/>
              <w:overflowPunct/>
              <w:topLinePunct/>
              <w:autoSpaceDN/>
              <w:bidi w:val="0"/>
              <w:adjustRightInd w:val="0"/>
              <w:snapToGrid w:val="0"/>
              <w:spacing w:before="0" w:beforeAutospacing="0" w:after="0" w:afterAutospacing="0" w:line="240" w:lineRule="auto"/>
              <w:ind w:left="0" w:right="0"/>
              <w:rPr>
                <w:rFonts w:hint="default" w:ascii="Times New Roman" w:hAnsi="Times New Roman" w:cs="Times New Roman"/>
                <w:szCs w:val="20"/>
              </w:rPr>
            </w:pPr>
            <w:r>
              <w:rPr>
                <w:rFonts w:hint="default" w:ascii="Times New Roman" w:hAnsi="Times New Roman" w:cs="Times New Roman"/>
                <w:szCs w:val="20"/>
                <w:lang w:val="en-US" w:eastAsia="zh-CN"/>
              </w:rPr>
              <w:t>——</w:t>
            </w:r>
          </w:p>
        </w:tc>
        <w:tc>
          <w:tcPr>
            <w:tcW w:w="6303" w:type="dxa"/>
            <w:tcBorders>
              <w:top w:val="nil"/>
              <w:left w:val="nil"/>
              <w:bottom w:val="nil"/>
              <w:right w:val="nil"/>
            </w:tcBorders>
            <w:noWrap w:val="0"/>
            <w:vAlign w:val="center"/>
          </w:tcPr>
          <w:p>
            <w:pPr>
              <w:pStyle w:val="474"/>
              <w:keepNext w:val="0"/>
              <w:keepLines w:val="0"/>
              <w:pageBreakBefore w:val="0"/>
              <w:widowControl w:val="0"/>
              <w:suppressLineNumbers w:val="0"/>
              <w:kinsoku/>
              <w:wordWrap/>
              <w:overflowPunct/>
              <w:topLinePunct/>
              <w:autoSpaceDN/>
              <w:bidi w:val="0"/>
              <w:adjustRightInd w:val="0"/>
              <w:snapToGrid w:val="0"/>
              <w:spacing w:before="0" w:beforeAutospacing="0" w:after="0" w:afterAutospacing="0" w:line="240" w:lineRule="auto"/>
              <w:ind w:left="0" w:right="0"/>
              <w:rPr>
                <w:rFonts w:hint="default" w:ascii="Times New Roman" w:hAnsi="Times New Roman" w:cs="Times New Roman"/>
              </w:rPr>
            </w:pPr>
            <w:r>
              <w:rPr>
                <w:rFonts w:hint="eastAsia" w:ascii="宋体" w:hAnsi="宋体" w:eastAsia="宋体" w:cs="宋体"/>
                <w:szCs w:val="21"/>
                <w:lang w:val="en-US" w:eastAsia="zh-CN"/>
              </w:rPr>
              <w:t>县级行政区</w:t>
            </w:r>
            <w:r>
              <w:rPr>
                <w:rFonts w:hint="eastAsia" w:ascii="宋体" w:hAnsi="宋体" w:cs="宋体"/>
                <w:szCs w:val="21"/>
                <w:lang w:val="en-US" w:eastAsia="zh-CN"/>
              </w:rPr>
              <w:t>的</w:t>
            </w:r>
            <w:r>
              <w:rPr>
                <w:rFonts w:hint="default" w:ascii="Times New Roman" w:hAnsi="Times New Roman" w:cs="Times New Roman"/>
                <w:lang w:val="en-US" w:eastAsia="zh"/>
              </w:rPr>
              <w:t>设备</w:t>
            </w:r>
            <w:r>
              <w:rPr>
                <w:rFonts w:hint="default" w:ascii="Times New Roman" w:hAnsi="Times New Roman" w:cs="Times New Roman"/>
                <w:lang w:val="en-US" w:eastAsia="zh-CN"/>
              </w:rPr>
              <w:t>级</w:t>
            </w:r>
            <w:r>
              <w:rPr>
                <w:rFonts w:hint="default" w:ascii="Times New Roman" w:hAnsi="Times New Roman" w:cs="Times New Roman"/>
                <w:lang w:val="en-US" w:eastAsia="zh"/>
              </w:rPr>
              <w:t>承载力</w:t>
            </w:r>
            <w:r>
              <w:rPr>
                <w:rFonts w:hint="eastAsia" w:cs="Times New Roman"/>
                <w:lang w:val="en-US" w:eastAsia="zh-CN"/>
              </w:rPr>
              <w:t>区间</w:t>
            </w:r>
            <w:r>
              <w:rPr>
                <w:rFonts w:hint="default" w:ascii="Times New Roman" w:hAnsi="Times New Roman" w:cs="Times New Roman"/>
                <w:lang w:val="en-US" w:eastAsia="zh-CN"/>
              </w:rPr>
              <w:t>上限</w:t>
            </w:r>
            <w:r>
              <w:rPr>
                <w:rFonts w:hint="default" w:ascii="Times New Roman" w:hAnsi="Times New Roman" w:cs="Times New Roman"/>
                <w:lang w:val="en-US" w:eastAsia="zh"/>
              </w:rPr>
              <w:t>值</w:t>
            </w:r>
            <w:r>
              <w:rPr>
                <w:rFonts w:hint="default" w:ascii="Times New Roman" w:hAnsi="Times New Roman" w:cs="Times New Roman"/>
                <w:lang w:val="en-US" w:eastAsia="zh-CN"/>
              </w:rPr>
              <w:t>。</w:t>
            </w:r>
          </w:p>
        </w:tc>
      </w:tr>
    </w:tbl>
    <w:p>
      <w:pPr>
        <w:pStyle w:val="173"/>
        <w:keepNext w:val="0"/>
        <w:keepLines w:val="0"/>
        <w:pageBreakBefore w:val="0"/>
        <w:widowControl/>
        <w:numPr>
          <w:ilvl w:val="1"/>
          <w:numId w:val="22"/>
        </w:numPr>
        <w:kinsoku/>
        <w:wordWrap/>
        <w:overflowPunct/>
        <w:topLinePunct w:val="0"/>
        <w:autoSpaceDE/>
        <w:autoSpaceDN/>
        <w:bidi w:val="0"/>
        <w:adjustRightInd/>
        <w:snapToGrid/>
        <w:spacing w:before="157" w:beforeLines="50" w:line="240" w:lineRule="auto"/>
        <w:jc w:val="left"/>
        <w:textAlignment w:val="auto"/>
        <w:outlineLvl w:val="1"/>
        <w:rPr>
          <w:rFonts w:hint="eastAsia" w:ascii="宋体" w:hAnsi="宋体" w:eastAsia="宋体" w:cs="宋体"/>
          <w:szCs w:val="21"/>
        </w:rPr>
      </w:pPr>
      <w:bookmarkStart w:id="203" w:name="_Toc28593"/>
      <w:r>
        <w:rPr>
          <w:rFonts w:hint="eastAsia" w:ascii="宋体" w:hAnsi="宋体" w:eastAsia="宋体" w:cs="宋体"/>
          <w:szCs w:val="21"/>
          <w:lang w:val="en-US" w:eastAsia="zh-CN"/>
        </w:rPr>
        <w:t>当县级行政区的设备级承载力区间上限值小于系统级承载力区间的下限值</w:t>
      </w:r>
      <w:r>
        <w:rPr>
          <w:rFonts w:hint="eastAsia" w:ascii="宋体" w:hAnsi="宋体" w:eastAsia="宋体" w:cs="宋体"/>
          <w:sz w:val="21"/>
          <w:szCs w:val="21"/>
          <w:lang w:val="en-US" w:eastAsia="zh-CN"/>
        </w:rPr>
        <w:t>时，应重新分配该县级行政区系统级承载力。</w:t>
      </w:r>
    </w:p>
    <w:p>
      <w:pPr>
        <w:pStyle w:val="119"/>
        <w:widowControl/>
        <w:numPr>
          <w:ilvl w:val="0"/>
          <w:numId w:val="22"/>
        </w:numPr>
        <w:adjustRightInd/>
        <w:spacing w:before="312" w:beforeLines="100" w:after="312" w:afterLines="100" w:line="240" w:lineRule="auto"/>
        <w:textAlignment w:val="auto"/>
        <w:outlineLvl w:val="0"/>
        <w:rPr>
          <w:rFonts w:hint="eastAsia" w:hAnsi="Times New Roman" w:cs="Times New Roman"/>
          <w:lang w:val="en-US" w:eastAsia="zh-CN"/>
        </w:rPr>
      </w:pPr>
      <w:bookmarkStart w:id="204" w:name="_Toc22189"/>
      <w:bookmarkStart w:id="205" w:name="_Toc23217"/>
      <w:bookmarkStart w:id="206" w:name="_Toc6196"/>
      <w:r>
        <w:rPr>
          <w:rFonts w:hint="eastAsia" w:hAnsi="Times New Roman" w:cs="Times New Roman"/>
          <w:lang w:val="en-US" w:eastAsia="zh-CN"/>
        </w:rPr>
        <w:t>可开放容量评估及等级划分</w:t>
      </w:r>
      <w:bookmarkEnd w:id="203"/>
      <w:bookmarkEnd w:id="204"/>
      <w:bookmarkEnd w:id="205"/>
      <w:bookmarkEnd w:id="206"/>
    </w:p>
    <w:p>
      <w:pPr>
        <w:pStyle w:val="173"/>
        <w:keepNext w:val="0"/>
        <w:keepLines w:val="0"/>
        <w:pageBreakBefore w:val="0"/>
        <w:widowControl/>
        <w:numPr>
          <w:ilvl w:val="1"/>
          <w:numId w:val="22"/>
        </w:numPr>
        <w:kinsoku/>
        <w:wordWrap/>
        <w:overflowPunct/>
        <w:topLinePunct w:val="0"/>
        <w:autoSpaceDE/>
        <w:autoSpaceDN/>
        <w:bidi w:val="0"/>
        <w:adjustRightInd/>
        <w:snapToGrid/>
        <w:spacing w:line="240" w:lineRule="auto"/>
        <w:jc w:val="left"/>
        <w:textAlignment w:val="auto"/>
        <w:outlineLvl w:val="1"/>
        <w:rPr>
          <w:rFonts w:ascii="宋体" w:hAnsi="宋体" w:eastAsia="宋体"/>
          <w:szCs w:val="21"/>
        </w:rPr>
      </w:pPr>
      <w:r>
        <w:rPr>
          <w:rFonts w:hint="eastAsia" w:ascii="宋体" w:hAnsi="宋体" w:eastAsia="宋体"/>
          <w:szCs w:val="21"/>
          <w:lang w:val="en-US" w:eastAsia="zh-CN"/>
        </w:rPr>
        <w:t>可开放容量评估包括县级行政区可开放容量评估和220（330）kV及以下各电压等级变压器可开放容量评估，</w:t>
      </w:r>
      <w:r>
        <w:rPr>
          <w:rFonts w:hint="eastAsia" w:ascii="宋体" w:hAnsi="宋体" w:eastAsia="宋体" w:cs="Times New Roman"/>
          <w:szCs w:val="21"/>
          <w:lang w:val="en-US" w:eastAsia="zh-CN"/>
        </w:rPr>
        <w:t>可结合分布式电源装机、电网结构、用电负荷变化调整可开放容量评估周期。</w:t>
      </w:r>
    </w:p>
    <w:p>
      <w:pPr>
        <w:pStyle w:val="173"/>
        <w:keepNext w:val="0"/>
        <w:keepLines w:val="0"/>
        <w:pageBreakBefore w:val="0"/>
        <w:widowControl/>
        <w:numPr>
          <w:ilvl w:val="1"/>
          <w:numId w:val="22"/>
        </w:numPr>
        <w:kinsoku/>
        <w:wordWrap/>
        <w:overflowPunct/>
        <w:topLinePunct w:val="0"/>
        <w:autoSpaceDE/>
        <w:autoSpaceDN/>
        <w:bidi w:val="0"/>
        <w:adjustRightInd/>
        <w:snapToGrid/>
        <w:spacing w:line="240" w:lineRule="auto"/>
        <w:jc w:val="left"/>
        <w:textAlignment w:val="auto"/>
        <w:outlineLvl w:val="1"/>
        <w:rPr>
          <w:rFonts w:ascii="宋体" w:hAnsi="宋体" w:eastAsia="宋体"/>
          <w:szCs w:val="21"/>
        </w:rPr>
      </w:pPr>
      <w:r>
        <w:rPr>
          <w:rFonts w:hint="eastAsia" w:ascii="宋体" w:hAnsi="宋体" w:eastAsia="宋体"/>
          <w:szCs w:val="21"/>
          <w:lang w:val="en-US" w:eastAsia="zh-CN"/>
        </w:rPr>
        <w:t>可开放容量评估应</w:t>
      </w:r>
      <w:r>
        <w:rPr>
          <w:rFonts w:hint="eastAsia" w:ascii="宋体" w:hAnsi="宋体" w:eastAsia="宋体" w:cs="宋体"/>
          <w:szCs w:val="21"/>
          <w:lang w:val="en-US" w:eastAsia="zh-CN"/>
        </w:rPr>
        <w:t>遵循下级服从上级原则，按照县级行政区、220（330）kV、110（66）kV、35kV、10kV变压器逐级开展评估。</w:t>
      </w:r>
    </w:p>
    <w:p>
      <w:pPr>
        <w:widowControl/>
        <w:tabs>
          <w:tab w:val="center" w:pos="4201"/>
          <w:tab w:val="right" w:leader="dot" w:pos="9298"/>
        </w:tabs>
        <w:adjustRightInd/>
        <w:spacing w:line="240" w:lineRule="auto"/>
        <w:ind w:left="754" w:hanging="334" w:firstLineChars="0"/>
        <w:textAlignment w:val="auto"/>
        <w:rPr>
          <w:rFonts w:hint="eastAsia" w:ascii="黑体" w:hAnsi="黑体" w:eastAsia="黑体" w:cs="黑体"/>
          <w:sz w:val="18"/>
          <w:szCs w:val="16"/>
        </w:rPr>
      </w:pPr>
      <w:r>
        <w:rPr>
          <w:rFonts w:hint="eastAsia" w:ascii="黑体" w:hAnsi="黑体" w:eastAsia="黑体" w:cs="黑体"/>
          <w:sz w:val="18"/>
          <w:szCs w:val="16"/>
          <w:lang w:val="en-US" w:eastAsia="zh-CN" w:bidi="ar-SA"/>
        </w:rPr>
        <w:t>注：</w:t>
      </w:r>
      <w:r>
        <w:rPr>
          <w:rFonts w:hint="eastAsia" w:asciiTheme="minorEastAsia" w:hAnsiTheme="minorEastAsia" w:eastAsiaTheme="minorEastAsia" w:cstheme="minorEastAsia"/>
          <w:sz w:val="18"/>
          <w:szCs w:val="16"/>
          <w:lang w:val="en-US" w:eastAsia="zh-CN" w:bidi="ar-SA"/>
        </w:rPr>
        <w:t>下级服从上级指上一级可开放容量计算结果小于下一级可开放容量计算结果时，计算结果以上一级为准。</w:t>
      </w:r>
    </w:p>
    <w:p>
      <w:pPr>
        <w:pStyle w:val="173"/>
        <w:keepNext w:val="0"/>
        <w:keepLines w:val="0"/>
        <w:pageBreakBefore w:val="0"/>
        <w:widowControl/>
        <w:numPr>
          <w:ilvl w:val="1"/>
          <w:numId w:val="22"/>
        </w:numPr>
        <w:kinsoku/>
        <w:wordWrap/>
        <w:overflowPunct/>
        <w:topLinePunct w:val="0"/>
        <w:autoSpaceDE/>
        <w:autoSpaceDN/>
        <w:bidi w:val="0"/>
        <w:adjustRightInd/>
        <w:snapToGrid/>
        <w:spacing w:line="240" w:lineRule="auto"/>
        <w:jc w:val="left"/>
        <w:textAlignment w:val="auto"/>
        <w:outlineLvl w:val="1"/>
        <w:rPr>
          <w:rFonts w:ascii="宋体" w:hAnsi="宋体" w:eastAsia="宋体"/>
          <w:szCs w:val="21"/>
        </w:rPr>
      </w:pPr>
      <w:r>
        <w:rPr>
          <w:rFonts w:hint="eastAsia" w:ascii="宋体" w:hAnsi="宋体" w:eastAsia="宋体"/>
          <w:szCs w:val="21"/>
          <w:lang w:val="en-US" w:eastAsia="zh-CN"/>
        </w:rPr>
        <w:t>县级行政区可开放容量区间应按公式（3）</w:t>
      </w:r>
      <w:r>
        <w:rPr>
          <w:rFonts w:hint="eastAsia" w:ascii="宋体" w:hAnsi="宋体" w:eastAsia="宋体" w:cs="Times New Roman"/>
          <w:szCs w:val="21"/>
          <w:lang w:val="en-US" w:eastAsia="zh-CN"/>
        </w:rPr>
        <w:t>和公式</w:t>
      </w:r>
      <w:r>
        <w:rPr>
          <w:rFonts w:hint="eastAsia" w:ascii="宋体" w:hAnsi="宋体" w:eastAsia="宋体"/>
          <w:szCs w:val="21"/>
          <w:lang w:val="en-US" w:eastAsia="zh-CN"/>
        </w:rPr>
        <w:t>（4）计算得出：</w:t>
      </w:r>
    </w:p>
    <w:p>
      <w:pPr>
        <w:keepNext w:val="0"/>
        <w:keepLines w:val="0"/>
        <w:pageBreakBefore w:val="0"/>
        <w:widowControl/>
        <w:kinsoku/>
        <w:wordWrap/>
        <w:overflowPunct/>
        <w:topLinePunct w:val="0"/>
        <w:autoSpaceDE/>
        <w:autoSpaceDN/>
        <w:bidi w:val="0"/>
        <w:adjustRightInd w:val="0"/>
        <w:snapToGrid/>
        <w:spacing w:before="164" w:beforeLines="50" w:after="164" w:afterLines="50" w:line="240" w:lineRule="auto"/>
        <w:ind w:left="0" w:leftChars="0" w:firstLine="0" w:firstLineChars="0"/>
        <w:jc w:val="both"/>
        <w:textAlignment w:val="baseline"/>
        <w:rPr>
          <w:rFonts w:hint="default" w:ascii="Times New Roman" w:hAnsi="Times New Roman" w:eastAsia="方正仿宋_GBK" w:cs="Times New Roman"/>
          <w:b w:val="0"/>
          <w:bCs w:val="0"/>
          <w:kern w:val="2"/>
          <w:position w:val="-12"/>
          <w:sz w:val="21"/>
          <w:szCs w:val="21"/>
          <w:highlight w:val="none"/>
          <w:lang w:val="en-US" w:eastAsia="zh-CN" w:bidi="ar-SA"/>
        </w:rPr>
      </w:pPr>
      <w:r>
        <w:rPr>
          <w:rFonts w:hint="eastAsia" w:ascii="Times New Roman" w:hAnsi="Times New Roman" w:eastAsia="宋体" w:cs="Times New Roman"/>
          <w:b w:val="0"/>
          <w:bCs/>
          <w:spacing w:val="-2"/>
          <w:kern w:val="11"/>
          <w:position w:val="-12"/>
          <w:sz w:val="21"/>
          <w:szCs w:val="21"/>
          <w:lang w:val="en-US" w:eastAsia="zh-CN" w:bidi="ar-SA"/>
        </w:rPr>
        <w:t xml:space="preserve">                              </w:t>
      </w:r>
      <w:r>
        <w:rPr>
          <w:rFonts w:hint="eastAsia" w:ascii="Times New Roman" w:hAnsi="Times New Roman" w:eastAsia="宋体" w:cs="Times New Roman"/>
          <w:b w:val="0"/>
          <w:bCs/>
          <w:spacing w:val="-2"/>
          <w:kern w:val="11"/>
          <w:position w:val="-12"/>
          <w:sz w:val="21"/>
          <w:szCs w:val="21"/>
          <w:highlight w:val="none"/>
          <w:lang w:val="en-US" w:eastAsia="zh-CN" w:bidi="ar-SA"/>
        </w:rPr>
        <w:t xml:space="preserve">         </w:t>
      </w:r>
      <w:r>
        <w:rPr>
          <w:rFonts w:hint="default" w:ascii="Times New Roman" w:hAnsi="Times New Roman" w:eastAsia="宋体" w:cs="Times New Roman"/>
          <w:b w:val="0"/>
          <w:bCs/>
          <w:spacing w:val="-2"/>
          <w:kern w:val="11"/>
          <w:position w:val="-12"/>
          <w:sz w:val="21"/>
          <w:szCs w:val="21"/>
          <w:highlight w:val="none"/>
          <w:lang w:val="en-US" w:eastAsia="zh-CN" w:bidi="ar-SA"/>
        </w:rPr>
        <w:object>
          <v:shape id="_x0000_i1031" o:spt="75" type="#_x0000_t75" style="height:16.8pt;width:67.65pt;" o:ole="t" filled="f" o:preferrelative="t" stroked="f" coordsize="21600,21600">
            <v:path/>
            <v:fill on="f" focussize="0,0"/>
            <v:stroke on="f"/>
            <v:imagedata r:id="rId28" o:title=""/>
            <o:lock v:ext="edit" aspectratio="t"/>
            <w10:wrap type="none"/>
            <w10:anchorlock/>
          </v:shape>
          <o:OLEObject Type="Embed" ProgID="Equation.KSEE3" ShapeID="_x0000_i1031" DrawAspect="Content" ObjectID="_1468075731" r:id="rId27">
            <o:LockedField>false</o:LockedField>
          </o:OLEObject>
        </w:object>
      </w:r>
      <w:r>
        <w:rPr>
          <w:rFonts w:hint="eastAsia" w:ascii="Times New Roman" w:hAnsi="Times New Roman" w:eastAsia="宋体" w:cs="Times New Roman"/>
          <w:b w:val="0"/>
          <w:bCs/>
          <w:spacing w:val="-2"/>
          <w:kern w:val="11"/>
          <w:position w:val="-12"/>
          <w:sz w:val="21"/>
          <w:szCs w:val="21"/>
          <w:highlight w:val="none"/>
          <w:lang w:val="en-US" w:eastAsia="zh-CN" w:bidi="ar-SA"/>
        </w:rPr>
        <w:t xml:space="preserve">                                   </w:t>
      </w:r>
      <w:r>
        <w:rPr>
          <w:rFonts w:hint="default" w:ascii="Times New Roman" w:hAnsi="Times New Roman" w:eastAsia="方正仿宋_GBK" w:cs="Times New Roman"/>
          <w:b w:val="0"/>
          <w:bCs w:val="0"/>
          <w:kern w:val="2"/>
          <w:position w:val="-12"/>
          <w:sz w:val="21"/>
          <w:szCs w:val="21"/>
          <w:highlight w:val="none"/>
          <w:lang w:val="en-US" w:eastAsia="zh-CN" w:bidi="ar-SA"/>
        </w:rPr>
        <w:t>（</w:t>
      </w:r>
      <w:r>
        <w:rPr>
          <w:rFonts w:hint="eastAsia" w:ascii="Times New Roman" w:hAnsi="Times New Roman" w:eastAsia="方正仿宋_GBK" w:cs="Times New Roman"/>
          <w:b w:val="0"/>
          <w:bCs w:val="0"/>
          <w:kern w:val="2"/>
          <w:position w:val="-12"/>
          <w:sz w:val="21"/>
          <w:szCs w:val="21"/>
          <w:highlight w:val="none"/>
          <w:lang w:val="en-US" w:eastAsia="zh-CN" w:bidi="ar-SA"/>
        </w:rPr>
        <w:t>3</w:t>
      </w:r>
      <w:r>
        <w:rPr>
          <w:rFonts w:hint="default" w:ascii="Times New Roman" w:hAnsi="Times New Roman" w:eastAsia="方正仿宋_GBK" w:cs="Times New Roman"/>
          <w:b w:val="0"/>
          <w:bCs w:val="0"/>
          <w:kern w:val="2"/>
          <w:position w:val="-12"/>
          <w:sz w:val="21"/>
          <w:szCs w:val="21"/>
          <w:highlight w:val="none"/>
          <w:lang w:val="en-US" w:eastAsia="zh-CN" w:bidi="ar-SA"/>
        </w:rPr>
        <w:t>）</w:t>
      </w:r>
    </w:p>
    <w:p>
      <w:pPr>
        <w:pStyle w:val="120"/>
        <w:widowControl/>
        <w:tabs>
          <w:tab w:val="center" w:pos="4201"/>
          <w:tab w:val="right" w:leader="dot" w:pos="9298"/>
        </w:tabs>
        <w:adjustRightInd/>
        <w:spacing w:line="240" w:lineRule="auto"/>
        <w:ind w:firstLine="420"/>
        <w:jc w:val="both"/>
        <w:textAlignment w:val="auto"/>
        <w:rPr>
          <w:rFonts w:hint="default" w:ascii="宋体" w:hAnsi="Times New Roman" w:eastAsia="宋体" w:cs="Times New Roman"/>
          <w:lang w:val="en-US" w:eastAsia="zh-CN"/>
        </w:rPr>
      </w:pPr>
      <w:r>
        <w:rPr>
          <w:rFonts w:hint="eastAsia" w:ascii="宋体" w:hAnsi="Times New Roman" w:eastAsia="宋体" w:cs="Times New Roman"/>
          <w:lang w:val="en-US" w:eastAsia="zh-CN"/>
        </w:rPr>
        <w:t>式中：</w:t>
      </w:r>
    </w:p>
    <w:tbl>
      <w:tblPr>
        <w:tblStyle w:val="75"/>
        <w:tblW w:w="0" w:type="auto"/>
        <w:tblInd w:w="55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36"/>
        <w:gridCol w:w="759"/>
        <w:gridCol w:w="740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636"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jc w:val="left"/>
              <w:textAlignment w:val="baseline"/>
              <w:rPr>
                <w:rFonts w:hint="default" w:hAnsi="Calibri" w:cs="Times New Roman"/>
                <w:szCs w:val="20"/>
                <w:vertAlign w:val="baseline"/>
              </w:rPr>
            </w:pPr>
            <w:r>
              <w:rPr>
                <w:rFonts w:hint="default" w:ascii="Times New Roman" w:hAnsi="Times New Roman" w:eastAsia="宋体" w:cs="Times New Roman"/>
                <w:i/>
                <w:iCs/>
                <w:color w:val="auto"/>
                <w:sz w:val="21"/>
                <w:szCs w:val="21"/>
                <w:lang w:val="en-US" w:eastAsia="zh-CN"/>
              </w:rPr>
              <w:t>C</w:t>
            </w:r>
            <w:r>
              <w:rPr>
                <w:rFonts w:hint="eastAsia" w:ascii="Times New Roman" w:hAnsi="Times New Roman" w:eastAsia="宋体" w:cs="Times New Roman"/>
                <w:i w:val="0"/>
                <w:iCs w:val="0"/>
                <w:color w:val="auto"/>
                <w:sz w:val="21"/>
                <w:szCs w:val="21"/>
                <w:vertAlign w:val="subscript"/>
                <w:lang w:val="en-US" w:eastAsia="zh-CN"/>
              </w:rPr>
              <w:t>s1</w:t>
            </w:r>
          </w:p>
        </w:tc>
        <w:tc>
          <w:tcPr>
            <w:tcW w:w="759"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textAlignment w:val="baseline"/>
              <w:rPr>
                <w:rFonts w:hint="default" w:ascii="Times New Roman" w:hAnsi="Times New Roman" w:eastAsia="宋体" w:cs="Times New Roman"/>
                <w:szCs w:val="20"/>
                <w:vertAlign w:val="baseline"/>
                <w:lang w:eastAsia="zh-CN"/>
              </w:rPr>
            </w:pPr>
            <w:r>
              <w:rPr>
                <w:rFonts w:hint="default" w:ascii="Times New Roman" w:hAnsi="Times New Roman" w:eastAsia="楷体_GB2312" w:cs="Times New Roman"/>
                <w:szCs w:val="20"/>
                <w:vertAlign w:val="baseline"/>
                <w:lang w:eastAsia="zh-CN"/>
              </w:rPr>
              <w:t>——</w:t>
            </w:r>
          </w:p>
        </w:tc>
        <w:tc>
          <w:tcPr>
            <w:tcW w:w="7404"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textAlignment w:val="baseline"/>
              <w:rPr>
                <w:rFonts w:hint="default" w:hAnsi="Calibri" w:cs="Times New Roman"/>
                <w:szCs w:val="20"/>
                <w:vertAlign w:val="baseline"/>
              </w:rPr>
            </w:pPr>
            <w:r>
              <w:rPr>
                <w:rFonts w:hint="eastAsia" w:ascii="Times New Roman" w:hAnsi="Times New Roman" w:eastAsia="宋体" w:cs="Times New Roman"/>
                <w:color w:val="auto"/>
                <w:sz w:val="21"/>
                <w:szCs w:val="21"/>
                <w:lang w:val="en-US" w:eastAsia="zh-CN"/>
              </w:rPr>
              <w:t>县级行政区</w:t>
            </w:r>
            <w:r>
              <w:rPr>
                <w:rFonts w:hint="eastAsia" w:ascii="Times New Roman" w:cs="Times New Roman"/>
                <w:color w:val="auto"/>
                <w:sz w:val="21"/>
                <w:szCs w:val="21"/>
                <w:lang w:val="en-US" w:eastAsia="zh-CN"/>
              </w:rPr>
              <w:t>内分布式电源的</w:t>
            </w:r>
            <w:r>
              <w:rPr>
                <w:rFonts w:hint="default" w:ascii="Times New Roman" w:hAnsi="Times New Roman" w:cs="Times New Roman"/>
                <w:sz w:val="21"/>
                <w:szCs w:val="21"/>
              </w:rPr>
              <w:t>可开放</w:t>
            </w:r>
            <w:r>
              <w:rPr>
                <w:rFonts w:hint="eastAsia" w:ascii="Times New Roman" w:cs="Times New Roman"/>
                <w:color w:val="auto"/>
                <w:sz w:val="21"/>
                <w:szCs w:val="21"/>
                <w:lang w:val="en-US" w:eastAsia="zh-CN"/>
              </w:rPr>
              <w:t>并网</w:t>
            </w:r>
            <w:r>
              <w:rPr>
                <w:rFonts w:hint="default" w:ascii="Times New Roman" w:hAnsi="Times New Roman" w:cs="Times New Roman"/>
                <w:sz w:val="21"/>
                <w:szCs w:val="21"/>
              </w:rPr>
              <w:t>容量</w:t>
            </w:r>
            <w:r>
              <w:rPr>
                <w:rFonts w:hint="eastAsia" w:ascii="Times New Roman" w:hAnsi="Times New Roman" w:cs="Times New Roman"/>
                <w:sz w:val="21"/>
                <w:szCs w:val="21"/>
                <w:lang w:val="en-US" w:eastAsia="zh-CN"/>
              </w:rPr>
              <w:t>区间</w:t>
            </w:r>
            <w:r>
              <w:rPr>
                <w:rFonts w:hint="default" w:ascii="Times New Roman" w:hAnsi="Times New Roman" w:eastAsia="宋体" w:cs="Times New Roman"/>
                <w:color w:val="auto"/>
                <w:sz w:val="21"/>
                <w:szCs w:val="21"/>
                <w:lang w:eastAsia="zh-CN"/>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636"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jc w:val="left"/>
              <w:textAlignment w:val="baseline"/>
              <w:rPr>
                <w:rFonts w:hint="default" w:hAnsi="Calibri" w:cs="Times New Roman"/>
                <w:szCs w:val="20"/>
                <w:vertAlign w:val="baseline"/>
                <w:lang w:val="en-US"/>
              </w:rPr>
            </w:pPr>
            <w:r>
              <w:rPr>
                <w:rFonts w:hint="default" w:ascii="Times New Roman" w:hAnsi="Times New Roman" w:eastAsia="宋体" w:cs="Times New Roman"/>
                <w:i/>
                <w:iCs/>
                <w:color w:val="auto"/>
                <w:sz w:val="21"/>
                <w:szCs w:val="21"/>
                <w:lang w:val="en-US" w:eastAsia="zh-CN"/>
              </w:rPr>
              <w:t>S</w:t>
            </w:r>
            <w:r>
              <w:rPr>
                <w:rFonts w:hint="eastAsia" w:ascii="Times New Roman" w:hAnsi="Times New Roman" w:eastAsia="宋体" w:cs="Times New Roman"/>
                <w:i w:val="0"/>
                <w:iCs w:val="0"/>
                <w:color w:val="auto"/>
                <w:sz w:val="21"/>
                <w:szCs w:val="21"/>
                <w:vertAlign w:val="subscript"/>
                <w:lang w:val="en-US" w:eastAsia="zh-CN"/>
              </w:rPr>
              <w:t>s-con</w:t>
            </w:r>
          </w:p>
        </w:tc>
        <w:tc>
          <w:tcPr>
            <w:tcW w:w="759"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textAlignment w:val="baseline"/>
              <w:rPr>
                <w:rFonts w:hint="default" w:ascii="Times New Roman" w:hAnsi="Times New Roman" w:cs="Times New Roman"/>
                <w:szCs w:val="20"/>
                <w:vertAlign w:val="baseline"/>
              </w:rPr>
            </w:pPr>
            <w:r>
              <w:rPr>
                <w:rFonts w:hint="default" w:ascii="Times New Roman" w:hAnsi="Times New Roman" w:eastAsia="楷体_GB2312" w:cs="Times New Roman"/>
                <w:szCs w:val="20"/>
                <w:vertAlign w:val="baseline"/>
                <w:lang w:eastAsia="zh-CN"/>
              </w:rPr>
              <w:t>——</w:t>
            </w:r>
          </w:p>
        </w:tc>
        <w:tc>
          <w:tcPr>
            <w:tcW w:w="7404"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textAlignment w:val="baseline"/>
              <w:rPr>
                <w:rFonts w:hint="eastAsia" w:hAnsi="Calibri" w:eastAsia="宋体" w:cs="Times New Roman"/>
                <w:szCs w:val="20"/>
                <w:vertAlign w:val="baseline"/>
                <w:lang w:eastAsia="zh-CN"/>
              </w:rPr>
            </w:pPr>
            <w:r>
              <w:rPr>
                <w:rFonts w:hint="eastAsia" w:ascii="Times New Roman" w:hAnsi="Times New Roman" w:eastAsia="宋体" w:cs="Times New Roman"/>
                <w:color w:val="auto"/>
                <w:sz w:val="21"/>
                <w:szCs w:val="21"/>
                <w:lang w:val="en-US" w:eastAsia="zh-CN"/>
              </w:rPr>
              <w:t>县级行政区内</w:t>
            </w:r>
            <w:r>
              <w:rPr>
                <w:rFonts w:hint="default" w:ascii="Times New Roman" w:hAnsi="Times New Roman" w:eastAsia="宋体" w:cs="Times New Roman"/>
                <w:sz w:val="21"/>
                <w:szCs w:val="21"/>
              </w:rPr>
              <w:t>已</w:t>
            </w:r>
            <w:r>
              <w:rPr>
                <w:rFonts w:hint="default" w:ascii="Times New Roman" w:hAnsi="Times New Roman" w:eastAsia="宋体" w:cs="Times New Roman"/>
                <w:sz w:val="21"/>
                <w:szCs w:val="21"/>
                <w:lang w:val="en-US" w:eastAsia="zh-CN"/>
              </w:rPr>
              <w:t>并网的</w:t>
            </w:r>
            <w:r>
              <w:rPr>
                <w:rFonts w:hint="default" w:ascii="Times New Roman" w:hAnsi="Times New Roman" w:eastAsia="宋体" w:cs="Times New Roman"/>
                <w:sz w:val="21"/>
                <w:szCs w:val="21"/>
                <w:lang w:eastAsia="zh-CN"/>
              </w:rPr>
              <w:t>分布式电源</w:t>
            </w:r>
            <w:r>
              <w:rPr>
                <w:rFonts w:hint="default" w:ascii="Times New Roman" w:hAnsi="Times New Roman" w:eastAsia="宋体" w:cs="Times New Roman"/>
                <w:sz w:val="21"/>
                <w:szCs w:val="21"/>
              </w:rPr>
              <w:t>装机容量</w:t>
            </w:r>
            <w:r>
              <w:rPr>
                <w:rFonts w:hint="eastAsia" w:ascii="Times New Roman" w:hAnsi="Times New Roman" w:eastAsia="宋体" w:cs="Times New Roman"/>
                <w:sz w:val="21"/>
                <w:szCs w:val="21"/>
                <w:lang w:eastAsia="zh-CN"/>
              </w:rPr>
              <w:t>。</w:t>
            </w:r>
          </w:p>
        </w:tc>
      </w:tr>
    </w:tbl>
    <w:p>
      <w:pPr>
        <w:keepNext w:val="0"/>
        <w:keepLines w:val="0"/>
        <w:pageBreakBefore w:val="0"/>
        <w:widowControl/>
        <w:kinsoku/>
        <w:wordWrap/>
        <w:overflowPunct/>
        <w:topLinePunct w:val="0"/>
        <w:autoSpaceDE/>
        <w:autoSpaceDN/>
        <w:bidi w:val="0"/>
        <w:adjustRightInd w:val="0"/>
        <w:snapToGrid/>
        <w:spacing w:before="164" w:beforeLines="50" w:after="164" w:afterLines="50" w:line="240" w:lineRule="auto"/>
        <w:ind w:left="0" w:leftChars="0" w:firstLine="0" w:firstLineChars="0"/>
        <w:jc w:val="both"/>
        <w:textAlignment w:val="baseline"/>
        <w:rPr>
          <w:rFonts w:hint="default" w:ascii="Times New Roman" w:hAnsi="Times New Roman" w:eastAsia="方正仿宋_GBK" w:cs="Times New Roman"/>
          <w:b w:val="0"/>
          <w:bCs w:val="0"/>
          <w:kern w:val="2"/>
          <w:position w:val="-12"/>
          <w:sz w:val="21"/>
          <w:szCs w:val="21"/>
          <w:lang w:val="en-US" w:eastAsia="zh-CN" w:bidi="ar-SA"/>
        </w:rPr>
      </w:pPr>
      <w:r>
        <w:rPr>
          <w:rFonts w:hint="eastAsia" w:ascii="Times New Roman" w:hAnsi="Times New Roman" w:eastAsia="宋体" w:cs="Times New Roman"/>
          <w:b w:val="0"/>
          <w:bCs/>
          <w:spacing w:val="-2"/>
          <w:kern w:val="11"/>
          <w:position w:val="-12"/>
          <w:sz w:val="21"/>
          <w:szCs w:val="21"/>
          <w:lang w:val="en-US" w:eastAsia="zh-CN" w:bidi="ar-SA"/>
        </w:rPr>
        <w:t xml:space="preserve">                                       </w:t>
      </w:r>
      <w:r>
        <w:rPr>
          <w:rFonts w:hint="default" w:ascii="Times New Roman" w:hAnsi="Times New Roman" w:eastAsia="宋体" w:cs="Times New Roman"/>
          <w:b w:val="0"/>
          <w:bCs/>
          <w:spacing w:val="-2"/>
          <w:kern w:val="11"/>
          <w:position w:val="-14"/>
          <w:sz w:val="21"/>
          <w:szCs w:val="21"/>
          <w:lang w:val="en-US" w:eastAsia="zh-CN" w:bidi="ar-SA"/>
        </w:rPr>
        <w:object>
          <v:shape id="_x0000_i1032" o:spt="75" type="#_x0000_t75" style="height:17.75pt;width:73.15pt;" o:ole="t" filled="f" o:preferrelative="t" stroked="f" coordsize="21600,21600">
            <v:path/>
            <v:fill on="f" focussize="0,0"/>
            <v:stroke on="f"/>
            <v:imagedata r:id="rId30" o:title=""/>
            <o:lock v:ext="edit" aspectratio="t"/>
            <w10:wrap type="none"/>
            <w10:anchorlock/>
          </v:shape>
          <o:OLEObject Type="Embed" ProgID="Equation.KSEE3" ShapeID="_x0000_i1032" DrawAspect="Content" ObjectID="_1468075732" r:id="rId29">
            <o:LockedField>false</o:LockedField>
          </o:OLEObject>
        </w:object>
      </w:r>
      <w:r>
        <w:rPr>
          <w:rFonts w:hint="eastAsia" w:ascii="Times New Roman" w:hAnsi="Times New Roman" w:eastAsia="宋体" w:cs="Times New Roman"/>
          <w:b w:val="0"/>
          <w:bCs/>
          <w:spacing w:val="-2"/>
          <w:kern w:val="11"/>
          <w:position w:val="-12"/>
          <w:sz w:val="21"/>
          <w:szCs w:val="21"/>
          <w:lang w:val="en-US" w:eastAsia="zh-CN" w:bidi="ar-SA"/>
        </w:rPr>
        <w:t xml:space="preserve">                                  </w:t>
      </w:r>
      <w:r>
        <w:rPr>
          <w:rFonts w:hint="default" w:ascii="Times New Roman" w:hAnsi="Times New Roman" w:eastAsia="方正仿宋_GBK" w:cs="Times New Roman"/>
          <w:b w:val="0"/>
          <w:bCs w:val="0"/>
          <w:kern w:val="2"/>
          <w:position w:val="-12"/>
          <w:sz w:val="21"/>
          <w:szCs w:val="21"/>
          <w:lang w:val="en-US" w:eastAsia="zh-CN" w:bidi="ar-SA"/>
        </w:rPr>
        <w:t>（</w:t>
      </w:r>
      <w:r>
        <w:rPr>
          <w:rFonts w:hint="eastAsia" w:ascii="Times New Roman" w:hAnsi="Times New Roman" w:eastAsia="方正仿宋_GBK" w:cs="Times New Roman"/>
          <w:b w:val="0"/>
          <w:bCs w:val="0"/>
          <w:kern w:val="2"/>
          <w:position w:val="-12"/>
          <w:sz w:val="21"/>
          <w:szCs w:val="21"/>
          <w:lang w:val="en-US" w:eastAsia="zh-CN" w:bidi="ar-SA"/>
        </w:rPr>
        <w:t>4</w:t>
      </w:r>
      <w:r>
        <w:rPr>
          <w:rFonts w:hint="default" w:ascii="Times New Roman" w:hAnsi="Times New Roman" w:eastAsia="方正仿宋_GBK" w:cs="Times New Roman"/>
          <w:b w:val="0"/>
          <w:bCs w:val="0"/>
          <w:kern w:val="2"/>
          <w:position w:val="-12"/>
          <w:sz w:val="21"/>
          <w:szCs w:val="21"/>
          <w:lang w:val="en-US" w:eastAsia="zh-CN" w:bidi="ar-SA"/>
        </w:rPr>
        <w:t>）</w:t>
      </w:r>
    </w:p>
    <w:p>
      <w:pPr>
        <w:pStyle w:val="120"/>
        <w:widowControl/>
        <w:tabs>
          <w:tab w:val="center" w:pos="4201"/>
          <w:tab w:val="right" w:leader="dot" w:pos="9298"/>
        </w:tabs>
        <w:adjustRightInd/>
        <w:spacing w:line="240" w:lineRule="auto"/>
        <w:ind w:firstLine="420"/>
        <w:jc w:val="both"/>
        <w:textAlignment w:val="auto"/>
        <w:rPr>
          <w:rFonts w:hint="default" w:ascii="宋体" w:hAnsi="Times New Roman" w:eastAsia="宋体" w:cs="Times New Roman"/>
          <w:lang w:val="en-US" w:eastAsia="zh-CN"/>
        </w:rPr>
      </w:pPr>
      <w:r>
        <w:rPr>
          <w:rFonts w:hint="eastAsia" w:ascii="宋体" w:hAnsi="Times New Roman" w:eastAsia="宋体" w:cs="Times New Roman"/>
          <w:lang w:val="en-US" w:eastAsia="zh-CN"/>
        </w:rPr>
        <w:t>式中：</w:t>
      </w:r>
    </w:p>
    <w:tbl>
      <w:tblPr>
        <w:tblStyle w:val="75"/>
        <w:tblW w:w="0" w:type="auto"/>
        <w:tblInd w:w="556"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636"/>
        <w:gridCol w:w="759"/>
        <w:gridCol w:w="740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636"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jc w:val="left"/>
              <w:textAlignment w:val="baseline"/>
              <w:rPr>
                <w:rFonts w:hint="default" w:hAnsi="Calibri" w:cs="Times New Roman"/>
                <w:szCs w:val="20"/>
                <w:vertAlign w:val="baseline"/>
                <w:lang w:val="en-US"/>
              </w:rPr>
            </w:pPr>
            <w:r>
              <w:rPr>
                <w:rFonts w:hint="default" w:ascii="Times New Roman" w:hAnsi="Times New Roman" w:eastAsia="宋体" w:cs="Times New Roman"/>
                <w:i/>
                <w:iCs/>
                <w:color w:val="auto"/>
                <w:sz w:val="21"/>
                <w:szCs w:val="21"/>
                <w:lang w:val="en-US" w:eastAsia="zh-CN"/>
              </w:rPr>
              <w:t>C</w:t>
            </w:r>
            <w:r>
              <w:rPr>
                <w:rFonts w:hint="eastAsia" w:ascii="Times New Roman" w:hAnsi="Times New Roman" w:eastAsia="宋体" w:cs="Times New Roman"/>
                <w:i w:val="0"/>
                <w:iCs w:val="0"/>
                <w:color w:val="auto"/>
                <w:sz w:val="21"/>
                <w:szCs w:val="21"/>
                <w:vertAlign w:val="subscript"/>
                <w:lang w:val="en-US" w:eastAsia="zh-CN"/>
              </w:rPr>
              <w:t>s2</w:t>
            </w:r>
          </w:p>
        </w:tc>
        <w:tc>
          <w:tcPr>
            <w:tcW w:w="759"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textAlignment w:val="baseline"/>
              <w:rPr>
                <w:rFonts w:hint="default" w:ascii="Times New Roman" w:hAnsi="Times New Roman" w:cs="Times New Roman"/>
                <w:szCs w:val="20"/>
                <w:vertAlign w:val="baseline"/>
              </w:rPr>
            </w:pPr>
            <w:r>
              <w:rPr>
                <w:rFonts w:hint="default" w:ascii="Times New Roman" w:hAnsi="Times New Roman" w:eastAsia="楷体_GB2312" w:cs="Times New Roman"/>
                <w:szCs w:val="20"/>
                <w:vertAlign w:val="baseline"/>
                <w:lang w:eastAsia="zh-CN"/>
              </w:rPr>
              <w:t>——</w:t>
            </w:r>
          </w:p>
        </w:tc>
        <w:tc>
          <w:tcPr>
            <w:tcW w:w="7404"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textAlignment w:val="baseline"/>
              <w:rPr>
                <w:rFonts w:hint="default" w:hAnsi="Calibri" w:cs="Times New Roman"/>
                <w:szCs w:val="20"/>
                <w:vertAlign w:val="baseline"/>
              </w:rPr>
            </w:pPr>
            <w:r>
              <w:rPr>
                <w:rFonts w:hint="eastAsia" w:ascii="Times New Roman" w:hAnsi="Times New Roman" w:eastAsia="宋体" w:cs="Times New Roman"/>
                <w:color w:val="auto"/>
                <w:sz w:val="21"/>
                <w:szCs w:val="21"/>
                <w:lang w:val="en-US" w:eastAsia="zh-CN"/>
              </w:rPr>
              <w:t>县级行政区</w:t>
            </w:r>
            <w:r>
              <w:rPr>
                <w:rFonts w:hint="eastAsia" w:ascii="Times New Roman" w:cs="Times New Roman"/>
                <w:color w:val="auto"/>
                <w:sz w:val="21"/>
                <w:szCs w:val="21"/>
                <w:lang w:val="en-US" w:eastAsia="zh-CN"/>
              </w:rPr>
              <w:t>内分布式电源的</w:t>
            </w:r>
            <w:r>
              <w:rPr>
                <w:rFonts w:hint="default" w:ascii="Times New Roman" w:hAnsi="Times New Roman" w:cs="Times New Roman"/>
                <w:sz w:val="21"/>
                <w:szCs w:val="21"/>
              </w:rPr>
              <w:t>可开放</w:t>
            </w:r>
            <w:r>
              <w:rPr>
                <w:rFonts w:hint="eastAsia" w:ascii="Times New Roman" w:cs="Times New Roman"/>
                <w:sz w:val="21"/>
                <w:szCs w:val="21"/>
                <w:lang w:val="en-US" w:eastAsia="zh-CN"/>
              </w:rPr>
              <w:t>备案</w:t>
            </w:r>
            <w:r>
              <w:rPr>
                <w:rFonts w:hint="default" w:ascii="Times New Roman" w:hAnsi="Times New Roman" w:cs="Times New Roman"/>
                <w:sz w:val="21"/>
                <w:szCs w:val="21"/>
              </w:rPr>
              <w:t>容量</w:t>
            </w:r>
            <w:r>
              <w:rPr>
                <w:rFonts w:hint="eastAsia" w:ascii="Times New Roman" w:hAnsi="Times New Roman" w:cs="Times New Roman"/>
                <w:sz w:val="21"/>
                <w:szCs w:val="21"/>
                <w:lang w:val="en-US" w:eastAsia="zh-CN"/>
              </w:rPr>
              <w:t>区间</w:t>
            </w:r>
            <w:r>
              <w:rPr>
                <w:rFonts w:hint="default" w:ascii="Times New Roman" w:hAnsi="Times New Roman" w:eastAsia="宋体" w:cs="Times New Roman"/>
                <w:color w:val="auto"/>
                <w:sz w:val="21"/>
                <w:szCs w:val="21"/>
                <w:lang w:eastAsia="zh-CN"/>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636"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jc w:val="left"/>
              <w:textAlignment w:val="baseline"/>
              <w:rPr>
                <w:rFonts w:hint="default" w:hAnsi="Calibri" w:cs="Times New Roman"/>
                <w:szCs w:val="20"/>
                <w:vertAlign w:val="baseline"/>
              </w:rPr>
            </w:pPr>
            <w:r>
              <w:rPr>
                <w:rFonts w:hint="default" w:ascii="Times New Roman" w:hAnsi="Times New Roman" w:eastAsia="宋体" w:cs="Times New Roman"/>
                <w:i/>
                <w:iCs/>
                <w:color w:val="auto"/>
                <w:sz w:val="21"/>
                <w:szCs w:val="21"/>
                <w:lang w:val="en-US" w:eastAsia="zh-CN"/>
              </w:rPr>
              <w:t>S</w:t>
            </w:r>
            <w:r>
              <w:rPr>
                <w:rFonts w:hint="eastAsia" w:ascii="Times New Roman" w:hAnsi="Times New Roman" w:eastAsia="宋体" w:cs="Times New Roman"/>
                <w:i w:val="0"/>
                <w:iCs w:val="0"/>
                <w:color w:val="auto"/>
                <w:sz w:val="21"/>
                <w:szCs w:val="21"/>
                <w:vertAlign w:val="subscript"/>
                <w:lang w:val="en-US" w:eastAsia="zh-CN"/>
              </w:rPr>
              <w:t>s-reg</w:t>
            </w:r>
          </w:p>
        </w:tc>
        <w:tc>
          <w:tcPr>
            <w:tcW w:w="759"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textAlignment w:val="baseline"/>
              <w:rPr>
                <w:rFonts w:hint="default" w:ascii="Times New Roman" w:hAnsi="Times New Roman" w:cs="Times New Roman"/>
                <w:szCs w:val="20"/>
                <w:vertAlign w:val="baseline"/>
              </w:rPr>
            </w:pPr>
            <w:r>
              <w:rPr>
                <w:rFonts w:hint="default" w:ascii="Times New Roman" w:hAnsi="Times New Roman" w:eastAsia="楷体_GB2312" w:cs="Times New Roman"/>
                <w:szCs w:val="20"/>
                <w:vertAlign w:val="baseline"/>
                <w:lang w:eastAsia="zh-CN"/>
              </w:rPr>
              <w:t>——</w:t>
            </w:r>
          </w:p>
        </w:tc>
        <w:tc>
          <w:tcPr>
            <w:tcW w:w="7404"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textAlignment w:val="baseline"/>
              <w:rPr>
                <w:rFonts w:hint="eastAsia" w:hAnsi="Calibri" w:eastAsia="宋体" w:cs="Times New Roman"/>
                <w:szCs w:val="20"/>
                <w:vertAlign w:val="baseline"/>
                <w:lang w:eastAsia="zh-CN"/>
              </w:rPr>
            </w:pPr>
            <w:r>
              <w:rPr>
                <w:rFonts w:hint="eastAsia" w:ascii="Times New Roman" w:hAnsi="Times New Roman" w:eastAsia="宋体" w:cs="Times New Roman"/>
                <w:color w:val="auto"/>
                <w:sz w:val="21"/>
                <w:szCs w:val="21"/>
                <w:lang w:val="en-US" w:eastAsia="zh-CN"/>
              </w:rPr>
              <w:t>县级行政区内</w:t>
            </w:r>
            <w:r>
              <w:rPr>
                <w:rFonts w:hint="default" w:ascii="Times New Roman" w:hAnsi="Times New Roman" w:eastAsia="宋体" w:cs="Times New Roman"/>
                <w:sz w:val="21"/>
                <w:szCs w:val="21"/>
              </w:rPr>
              <w:t>已</w:t>
            </w:r>
            <w:r>
              <w:rPr>
                <w:rFonts w:hint="default" w:ascii="Times New Roman" w:hAnsi="Times New Roman" w:eastAsia="宋体" w:cs="Times New Roman"/>
                <w:sz w:val="21"/>
                <w:szCs w:val="21"/>
                <w:lang w:val="en-US" w:eastAsia="zh-CN"/>
              </w:rPr>
              <w:t>备案且未并网</w:t>
            </w:r>
            <w:r>
              <w:rPr>
                <w:rFonts w:hint="eastAsia" w:ascii="Times New Roman" w:hAnsi="Times New Roman" w:eastAsia="宋体" w:cs="Times New Roman"/>
                <w:sz w:val="21"/>
                <w:szCs w:val="21"/>
                <w:lang w:val="en-US" w:eastAsia="zh-CN"/>
              </w:rPr>
              <w:t>的</w:t>
            </w:r>
            <w:r>
              <w:rPr>
                <w:rFonts w:hint="default" w:ascii="Times New Roman" w:hAnsi="Times New Roman" w:eastAsia="宋体" w:cs="Times New Roman"/>
                <w:sz w:val="21"/>
                <w:szCs w:val="21"/>
                <w:lang w:eastAsia="zh-CN"/>
              </w:rPr>
              <w:t>分布式电源</w:t>
            </w:r>
            <w:r>
              <w:rPr>
                <w:rFonts w:hint="default" w:ascii="Times New Roman" w:hAnsi="Times New Roman" w:eastAsia="宋体" w:cs="Times New Roman"/>
                <w:sz w:val="21"/>
                <w:szCs w:val="21"/>
              </w:rPr>
              <w:t>装机容量</w:t>
            </w:r>
            <w:r>
              <w:rPr>
                <w:rFonts w:hint="eastAsia" w:ascii="Times New Roman" w:hAnsi="Times New Roman" w:eastAsia="宋体" w:cs="Times New Roman"/>
                <w:sz w:val="21"/>
                <w:szCs w:val="21"/>
                <w:lang w:eastAsia="zh-CN"/>
              </w:rPr>
              <w:t>。</w:t>
            </w:r>
          </w:p>
        </w:tc>
      </w:tr>
    </w:tbl>
    <w:p>
      <w:pPr>
        <w:widowControl/>
        <w:tabs>
          <w:tab w:val="center" w:pos="4201"/>
          <w:tab w:val="right" w:leader="dot" w:pos="9298"/>
        </w:tabs>
        <w:adjustRightInd/>
        <w:spacing w:before="157" w:beforeLines="50" w:line="240" w:lineRule="auto"/>
        <w:ind w:left="754" w:hanging="334" w:firstLineChars="0"/>
        <w:textAlignment w:val="auto"/>
        <w:rPr>
          <w:rFonts w:hint="default" w:ascii="黑体" w:hAnsi="黑体" w:eastAsia="黑体" w:cs="黑体"/>
          <w:sz w:val="18"/>
          <w:szCs w:val="16"/>
          <w:lang w:val="en-US"/>
        </w:rPr>
      </w:pPr>
      <w:r>
        <w:rPr>
          <w:rFonts w:hint="eastAsia" w:ascii="黑体" w:hAnsi="黑体" w:eastAsia="黑体" w:cs="黑体"/>
          <w:sz w:val="18"/>
          <w:szCs w:val="16"/>
          <w:lang w:val="en-US" w:eastAsia="zh-CN" w:bidi="ar-SA"/>
        </w:rPr>
        <w:t>注：</w:t>
      </w:r>
      <w:r>
        <w:rPr>
          <w:rFonts w:hint="eastAsia" w:asciiTheme="minorEastAsia" w:hAnsiTheme="minorEastAsia" w:eastAsiaTheme="minorEastAsia" w:cstheme="minorEastAsia"/>
          <w:sz w:val="18"/>
          <w:szCs w:val="16"/>
          <w:lang w:val="en-US" w:eastAsia="zh-CN" w:bidi="ar-SA"/>
        </w:rPr>
        <w:t>在备案有效期外的分布式电源装机容量不纳入可开放备案容量计算。</w:t>
      </w:r>
    </w:p>
    <w:p>
      <w:pPr>
        <w:pStyle w:val="173"/>
        <w:keepNext w:val="0"/>
        <w:keepLines w:val="0"/>
        <w:pageBreakBefore w:val="0"/>
        <w:widowControl/>
        <w:numPr>
          <w:ilvl w:val="1"/>
          <w:numId w:val="22"/>
        </w:numPr>
        <w:kinsoku/>
        <w:wordWrap/>
        <w:overflowPunct/>
        <w:topLinePunct w:val="0"/>
        <w:autoSpaceDE/>
        <w:autoSpaceDN/>
        <w:bidi w:val="0"/>
        <w:adjustRightInd/>
        <w:snapToGrid/>
        <w:spacing w:before="157" w:beforeLines="50" w:line="240" w:lineRule="auto"/>
        <w:ind w:left="0" w:firstLine="0"/>
        <w:jc w:val="left"/>
        <w:textAlignment w:val="auto"/>
        <w:outlineLvl w:val="1"/>
        <w:rPr>
          <w:rFonts w:ascii="宋体" w:hAnsi="宋体" w:eastAsia="宋体"/>
          <w:szCs w:val="21"/>
        </w:rPr>
      </w:pPr>
      <w:r>
        <w:rPr>
          <w:rFonts w:hint="eastAsia" w:ascii="宋体" w:hAnsi="宋体" w:eastAsia="宋体" w:cs="宋体"/>
          <w:szCs w:val="21"/>
          <w:lang w:val="en-US" w:eastAsia="zh-CN"/>
        </w:rPr>
        <w:t>县级行政区可开放容量评估等级应根据表1确定。</w:t>
      </w:r>
    </w:p>
    <w:p>
      <w:pPr>
        <w:pStyle w:val="120"/>
        <w:keepNext w:val="0"/>
        <w:keepLines w:val="0"/>
        <w:pageBreakBefore w:val="0"/>
        <w:widowControl w:val="0"/>
        <w:kinsoku/>
        <w:wordWrap/>
        <w:overflowPunct/>
        <w:topLinePunct w:val="0"/>
        <w:autoSpaceDE w:val="0"/>
        <w:autoSpaceDN w:val="0"/>
        <w:bidi w:val="0"/>
        <w:adjustRightInd w:val="0"/>
        <w:snapToGrid/>
        <w:spacing w:before="157" w:beforeLines="50" w:after="157" w:afterLines="50" w:line="240" w:lineRule="auto"/>
        <w:ind w:left="0" w:leftChars="0" w:firstLine="0" w:firstLineChars="0"/>
        <w:jc w:val="center"/>
        <w:textAlignment w:val="baseline"/>
        <w:rPr>
          <w:rFonts w:hint="eastAsia" w:ascii="黑体" w:hAnsi="黑体" w:eastAsia="黑体" w:cs="黑体"/>
          <w:szCs w:val="21"/>
          <w:lang w:val="en-US" w:eastAsia="zh-CN"/>
        </w:rPr>
      </w:pPr>
      <w:r>
        <w:rPr>
          <w:rFonts w:hint="eastAsia" w:ascii="黑体" w:hAnsi="黑体" w:eastAsia="黑体" w:cs="黑体"/>
          <w:lang w:val="en-US" w:eastAsia="zh-CN"/>
        </w:rPr>
        <w:t xml:space="preserve">表1  </w:t>
      </w:r>
      <w:r>
        <w:rPr>
          <w:rFonts w:hint="eastAsia" w:ascii="黑体" w:hAnsi="黑体" w:eastAsia="黑体" w:cs="黑体"/>
          <w:szCs w:val="21"/>
          <w:lang w:val="en-US" w:eastAsia="zh-CN"/>
        </w:rPr>
        <w:t>县级行政区可开放容量评估等级划分</w:t>
      </w:r>
    </w:p>
    <w:tbl>
      <w:tblPr>
        <w:tblStyle w:val="74"/>
        <w:tblW w:w="90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164"/>
        <w:gridCol w:w="940"/>
        <w:gridCol w:w="2372"/>
        <w:gridCol w:w="46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9" w:hRule="atLeast"/>
          <w:tblHeader/>
          <w:jc w:val="center"/>
        </w:trPr>
        <w:tc>
          <w:tcPr>
            <w:tcW w:w="1164" w:type="dxa"/>
            <w:noWrap w:val="0"/>
            <w:vAlign w:val="center"/>
          </w:tcPr>
          <w:p>
            <w:pPr>
              <w:keepNext w:val="0"/>
              <w:keepLines w:val="0"/>
              <w:widowControl/>
              <w:suppressLineNumbers w:val="0"/>
              <w:adjustRightInd w:val="0"/>
              <w:snapToGrid w:val="0"/>
              <w:spacing w:before="0" w:beforeAutospacing="0" w:after="0" w:afterAutospacing="0" w:line="312" w:lineRule="exact"/>
              <w:ind w:left="0" w:right="0"/>
              <w:jc w:val="center"/>
              <w:rPr>
                <w:rFonts w:hint="default" w:ascii="Times New Roman" w:hAnsi="Times New Roman" w:eastAsia="宋体" w:cs="Times New Roman"/>
                <w:kern w:val="0"/>
                <w:sz w:val="18"/>
                <w:szCs w:val="18"/>
                <w:lang w:eastAsia="zh-CN"/>
              </w:rPr>
            </w:pPr>
            <w:r>
              <w:rPr>
                <w:rFonts w:hint="default" w:ascii="Times New Roman" w:hAnsi="Times New Roman" w:cs="Times New Roman"/>
                <w:kern w:val="0"/>
                <w:sz w:val="18"/>
                <w:szCs w:val="18"/>
              </w:rPr>
              <w:t>评估</w:t>
            </w:r>
            <w:r>
              <w:rPr>
                <w:rFonts w:hint="default" w:ascii="Times New Roman" w:hAnsi="Times New Roman" w:cs="Times New Roman"/>
                <w:kern w:val="0"/>
                <w:sz w:val="18"/>
                <w:szCs w:val="18"/>
                <w:lang w:val="en-US" w:eastAsia="zh-CN"/>
              </w:rPr>
              <w:t>对象</w:t>
            </w:r>
          </w:p>
        </w:tc>
        <w:tc>
          <w:tcPr>
            <w:tcW w:w="940" w:type="dxa"/>
            <w:noWrap w:val="0"/>
            <w:vAlign w:val="center"/>
          </w:tcPr>
          <w:p>
            <w:pPr>
              <w:keepNext w:val="0"/>
              <w:keepLines w:val="0"/>
              <w:widowControl/>
              <w:suppressLineNumbers w:val="0"/>
              <w:adjustRightInd w:val="0"/>
              <w:snapToGrid w:val="0"/>
              <w:spacing w:before="0" w:beforeAutospacing="0" w:after="0" w:afterAutospacing="0" w:line="312" w:lineRule="exact"/>
              <w:ind w:left="0" w:right="0"/>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评估等级</w:t>
            </w:r>
          </w:p>
        </w:tc>
        <w:tc>
          <w:tcPr>
            <w:tcW w:w="2372" w:type="dxa"/>
            <w:noWrap w:val="0"/>
            <w:vAlign w:val="center"/>
          </w:tcPr>
          <w:p>
            <w:pPr>
              <w:keepNext w:val="0"/>
              <w:keepLines w:val="0"/>
              <w:widowControl/>
              <w:suppressLineNumbers w:val="0"/>
              <w:adjustRightInd w:val="0"/>
              <w:snapToGrid w:val="0"/>
              <w:spacing w:before="0" w:beforeAutospacing="0" w:after="0" w:afterAutospacing="0" w:line="312" w:lineRule="exact"/>
              <w:ind w:left="0" w:right="0"/>
              <w:jc w:val="center"/>
              <w:rPr>
                <w:rFonts w:hint="eastAsia" w:ascii="Times New Roman" w:hAnsi="Times New Roman" w:eastAsia="宋体" w:cs="Times New Roman"/>
                <w:kern w:val="0"/>
                <w:sz w:val="18"/>
                <w:szCs w:val="18"/>
                <w:lang w:eastAsia="zh-CN"/>
              </w:rPr>
            </w:pPr>
            <w:r>
              <w:rPr>
                <w:rFonts w:hint="default" w:ascii="Times New Roman" w:hAnsi="Times New Roman" w:cs="Times New Roman"/>
                <w:kern w:val="0"/>
                <w:sz w:val="18"/>
                <w:szCs w:val="18"/>
              </w:rPr>
              <w:t>评估</w:t>
            </w:r>
            <w:r>
              <w:rPr>
                <w:rFonts w:hint="eastAsia" w:cs="Times New Roman"/>
                <w:kern w:val="0"/>
                <w:sz w:val="18"/>
                <w:szCs w:val="18"/>
                <w:lang w:val="en-US" w:eastAsia="zh-CN"/>
              </w:rPr>
              <w:t>依据</w:t>
            </w:r>
          </w:p>
        </w:tc>
        <w:tc>
          <w:tcPr>
            <w:tcW w:w="4621" w:type="dxa"/>
            <w:noWrap w:val="0"/>
            <w:vAlign w:val="center"/>
          </w:tcPr>
          <w:p>
            <w:pPr>
              <w:keepNext w:val="0"/>
              <w:keepLines w:val="0"/>
              <w:widowControl/>
              <w:suppressLineNumbers w:val="0"/>
              <w:adjustRightInd w:val="0"/>
              <w:snapToGrid w:val="0"/>
              <w:spacing w:before="0" w:beforeAutospacing="0" w:after="0" w:afterAutospacing="0" w:line="312" w:lineRule="exact"/>
              <w:ind w:left="0" w:right="0"/>
              <w:jc w:val="center"/>
              <w:rPr>
                <w:rFonts w:hint="default" w:ascii="Times New Roman" w:hAnsi="Times New Roman" w:eastAsia="宋体" w:cs="Times New Roman"/>
                <w:kern w:val="0"/>
                <w:sz w:val="18"/>
                <w:szCs w:val="18"/>
                <w:lang w:val="en-US" w:eastAsia="zh-CN"/>
              </w:rPr>
            </w:pPr>
            <w:r>
              <w:rPr>
                <w:rFonts w:hint="eastAsia" w:ascii="Times New Roman" w:hAnsi="Times New Roman" w:cs="Times New Roman"/>
                <w:kern w:val="0"/>
                <w:sz w:val="18"/>
                <w:szCs w:val="18"/>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blHeader/>
          <w:jc w:val="center"/>
        </w:trPr>
        <w:tc>
          <w:tcPr>
            <w:tcW w:w="1164" w:type="dxa"/>
            <w:vMerge w:val="restart"/>
            <w:noWrap w:val="0"/>
            <w:vAlign w:val="center"/>
          </w:tcPr>
          <w:p>
            <w:pPr>
              <w:keepNext w:val="0"/>
              <w:keepLines w:val="0"/>
              <w:widowControl/>
              <w:suppressLineNumbers w:val="0"/>
              <w:adjustRightInd w:val="0"/>
              <w:snapToGrid w:val="0"/>
              <w:spacing w:before="0" w:beforeAutospacing="0" w:after="0" w:afterAutospacing="0" w:line="312" w:lineRule="exact"/>
              <w:ind w:left="0" w:leftChars="0" w:right="0" w:rightChars="0"/>
              <w:jc w:val="center"/>
              <w:rPr>
                <w:rFonts w:hint="default" w:ascii="Times New Roman" w:hAnsi="Times New Roman" w:eastAsia="宋体" w:cs="Times New Roman"/>
                <w:kern w:val="0"/>
                <w:sz w:val="18"/>
                <w:szCs w:val="18"/>
                <w:lang w:val="en-US" w:eastAsia="zh-CN"/>
              </w:rPr>
            </w:pPr>
            <w:r>
              <w:rPr>
                <w:rFonts w:hint="eastAsia" w:ascii="Times New Roman" w:hAnsi="Times New Roman" w:cs="Times New Roman"/>
                <w:kern w:val="0"/>
                <w:sz w:val="18"/>
                <w:szCs w:val="18"/>
                <w:lang w:val="en-US" w:eastAsia="zh-CN"/>
              </w:rPr>
              <w:t>县级行政区</w:t>
            </w:r>
          </w:p>
        </w:tc>
        <w:tc>
          <w:tcPr>
            <w:tcW w:w="940" w:type="dxa"/>
            <w:noWrap w:val="0"/>
            <w:vAlign w:val="center"/>
          </w:tcPr>
          <w:p>
            <w:pPr>
              <w:keepNext w:val="0"/>
              <w:keepLines w:val="0"/>
              <w:widowControl/>
              <w:suppressLineNumbers w:val="0"/>
              <w:adjustRightInd w:val="0"/>
              <w:snapToGrid w:val="0"/>
              <w:spacing w:before="0" w:beforeAutospacing="0" w:after="0" w:afterAutospacing="0" w:line="312" w:lineRule="exact"/>
              <w:ind w:left="0" w:leftChars="0" w:right="0" w:rightChars="0"/>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绿色</w:t>
            </w:r>
          </w:p>
        </w:tc>
        <w:tc>
          <w:tcPr>
            <w:tcW w:w="2372" w:type="dxa"/>
            <w:noWrap w:val="0"/>
            <w:vAlign w:val="center"/>
          </w:tcPr>
          <w:p>
            <w:pPr>
              <w:keepNext w:val="0"/>
              <w:keepLines w:val="0"/>
              <w:widowControl/>
              <w:suppressLineNumbers w:val="0"/>
              <w:adjustRightInd w:val="0"/>
              <w:snapToGrid w:val="0"/>
              <w:spacing w:before="0" w:beforeAutospacing="0" w:after="0" w:afterAutospacing="0" w:line="240" w:lineRule="auto"/>
              <w:ind w:left="0" w:leftChars="0" w:right="0" w:rightChars="0"/>
              <w:jc w:val="center"/>
              <w:rPr>
                <w:rFonts w:hint="default" w:ascii="Times New Roman" w:hAnsi="Times New Roman" w:cs="Times New Roman"/>
                <w:kern w:val="0"/>
                <w:sz w:val="18"/>
                <w:szCs w:val="18"/>
                <w:lang w:val="en-US"/>
              </w:rPr>
            </w:pPr>
            <w:r>
              <w:rPr>
                <w:rFonts w:hint="default" w:ascii="Times New Roman" w:hAnsi="Times New Roman" w:eastAsia="宋体" w:cs="Times New Roman"/>
                <w:i/>
                <w:iCs/>
                <w:color w:val="auto"/>
                <w:sz w:val="21"/>
                <w:szCs w:val="21"/>
                <w:lang w:val="en-US" w:eastAsia="zh-CN"/>
              </w:rPr>
              <w:t>C</w:t>
            </w:r>
            <w:r>
              <w:rPr>
                <w:rFonts w:hint="eastAsia" w:ascii="Times New Roman" w:hAnsi="Times New Roman" w:eastAsia="宋体" w:cs="Times New Roman"/>
                <w:i/>
                <w:iCs/>
                <w:color w:val="auto"/>
                <w:sz w:val="21"/>
                <w:szCs w:val="21"/>
                <w:vertAlign w:val="subscript"/>
                <w:lang w:val="en-US" w:eastAsia="zh-CN"/>
              </w:rPr>
              <w:t>s2min</w:t>
            </w:r>
            <w:r>
              <w:rPr>
                <w:rFonts w:hint="eastAsia" w:ascii="Times New Roman" w:hAnsi="Times New Roman" w:eastAsia="宋体" w:cs="Times New Roman"/>
                <w:i w:val="0"/>
                <w:iCs w:val="0"/>
                <w:kern w:val="0"/>
                <w:sz w:val="18"/>
                <w:szCs w:val="18"/>
                <w:lang w:val="en-US" w:eastAsia="zh-CN"/>
              </w:rPr>
              <w:t>＞0；</w:t>
            </w:r>
          </w:p>
        </w:tc>
        <w:tc>
          <w:tcPr>
            <w:tcW w:w="4621" w:type="dxa"/>
            <w:noWrap w:val="0"/>
            <w:vAlign w:val="center"/>
          </w:tcPr>
          <w:p>
            <w:pPr>
              <w:keepNext w:val="0"/>
              <w:keepLines w:val="0"/>
              <w:widowControl/>
              <w:suppressLineNumbers w:val="0"/>
              <w:adjustRightInd w:val="0"/>
              <w:snapToGrid w:val="0"/>
              <w:spacing w:before="0" w:beforeAutospacing="0" w:after="0" w:afterAutospacing="0" w:line="240" w:lineRule="auto"/>
              <w:ind w:left="0" w:leftChars="0" w:right="0" w:rightChars="0"/>
              <w:jc w:val="left"/>
              <w:rPr>
                <w:rFonts w:hint="default" w:ascii="Times New Roman" w:hAnsi="Times New Roman" w:cs="Times New Roman"/>
                <w:kern w:val="0"/>
                <w:sz w:val="18"/>
                <w:szCs w:val="18"/>
                <w:lang w:val="en-US" w:eastAsia="zh-CN"/>
              </w:rPr>
            </w:pPr>
            <w:r>
              <w:rPr>
                <w:rFonts w:hint="eastAsia" w:cs="Times New Roman"/>
                <w:kern w:val="0"/>
                <w:sz w:val="18"/>
                <w:szCs w:val="18"/>
                <w:lang w:val="en-US" w:eastAsia="zh-CN"/>
              </w:rPr>
              <w:t>在已备案分布式电源全部并网后，仍</w:t>
            </w:r>
            <w:r>
              <w:rPr>
                <w:rFonts w:hint="eastAsia" w:ascii="Times New Roman" w:hAnsi="Times New Roman" w:cs="Times New Roman"/>
                <w:kern w:val="0"/>
                <w:sz w:val="18"/>
                <w:szCs w:val="18"/>
                <w:lang w:val="en-US" w:eastAsia="zh-CN"/>
              </w:rPr>
              <w:t>具备分布式电源接入空间</w:t>
            </w:r>
            <w:r>
              <w:rPr>
                <w:rFonts w:hint="eastAsia" w:cs="Times New Roman"/>
                <w:kern w:val="0"/>
                <w:sz w:val="18"/>
                <w:szCs w:val="18"/>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blHeader/>
          <w:jc w:val="center"/>
        </w:trPr>
        <w:tc>
          <w:tcPr>
            <w:tcW w:w="1164" w:type="dxa"/>
            <w:vMerge w:val="continue"/>
            <w:noWrap w:val="0"/>
            <w:vAlign w:val="center"/>
          </w:tcPr>
          <w:p>
            <w:pPr>
              <w:keepNext w:val="0"/>
              <w:keepLines w:val="0"/>
              <w:widowControl/>
              <w:suppressLineNumbers w:val="0"/>
              <w:adjustRightInd w:val="0"/>
              <w:snapToGrid w:val="0"/>
              <w:spacing w:before="0" w:beforeAutospacing="0" w:after="0" w:afterAutospacing="0" w:line="312" w:lineRule="exact"/>
              <w:ind w:left="0" w:leftChars="0" w:right="0" w:rightChars="0"/>
              <w:jc w:val="center"/>
              <w:rPr>
                <w:rFonts w:hint="default" w:ascii="Times New Roman" w:hAnsi="Times New Roman" w:cs="Times New Roman"/>
                <w:kern w:val="0"/>
                <w:sz w:val="18"/>
                <w:szCs w:val="18"/>
              </w:rPr>
            </w:pPr>
          </w:p>
        </w:tc>
        <w:tc>
          <w:tcPr>
            <w:tcW w:w="940" w:type="dxa"/>
            <w:shd w:val="clear" w:color="auto" w:fill="auto"/>
            <w:noWrap w:val="0"/>
            <w:vAlign w:val="center"/>
          </w:tcPr>
          <w:p>
            <w:pPr>
              <w:keepNext w:val="0"/>
              <w:keepLines w:val="0"/>
              <w:widowControl/>
              <w:suppressLineNumbers w:val="0"/>
              <w:adjustRightInd w:val="0"/>
              <w:snapToGrid w:val="0"/>
              <w:spacing w:before="0" w:beforeAutospacing="0" w:after="0" w:afterAutospacing="0" w:line="312" w:lineRule="exact"/>
              <w:ind w:left="0" w:leftChars="0" w:right="0" w:rightChars="0"/>
              <w:jc w:val="center"/>
              <w:rPr>
                <w:rFonts w:hint="default" w:ascii="Times New Roman" w:hAnsi="Times New Roman" w:eastAsia="宋体" w:cs="Times New Roman"/>
                <w:kern w:val="0"/>
                <w:sz w:val="18"/>
                <w:szCs w:val="18"/>
                <w:lang w:val="en-US" w:eastAsia="zh-CN" w:bidi="ar-SA"/>
              </w:rPr>
            </w:pPr>
            <w:r>
              <w:rPr>
                <w:rFonts w:hint="default" w:ascii="Times New Roman" w:hAnsi="Times New Roman" w:cs="Times New Roman"/>
                <w:kern w:val="0"/>
                <w:sz w:val="18"/>
                <w:szCs w:val="18"/>
              </w:rPr>
              <w:t>黄色</w:t>
            </w:r>
          </w:p>
        </w:tc>
        <w:tc>
          <w:tcPr>
            <w:tcW w:w="2372" w:type="dxa"/>
            <w:shd w:val="clear" w:color="auto" w:fill="auto"/>
            <w:noWrap w:val="0"/>
            <w:vAlign w:val="center"/>
          </w:tcPr>
          <w:p>
            <w:pPr>
              <w:keepNext w:val="0"/>
              <w:keepLines w:val="0"/>
              <w:widowControl/>
              <w:suppressLineNumbers w:val="0"/>
              <w:adjustRightInd w:val="0"/>
              <w:snapToGrid w:val="0"/>
              <w:spacing w:before="0" w:beforeAutospacing="0" w:after="0" w:afterAutospacing="0" w:line="240" w:lineRule="auto"/>
              <w:ind w:left="0" w:leftChars="0" w:right="0" w:rightChars="0"/>
              <w:jc w:val="center"/>
              <w:rPr>
                <w:rFonts w:hint="eastAsia" w:ascii="Times New Roman" w:hAnsi="Times New Roman" w:eastAsia="宋体" w:cs="Times New Roman"/>
                <w:kern w:val="0"/>
                <w:sz w:val="18"/>
                <w:szCs w:val="18"/>
                <w:lang w:val="en-US" w:eastAsia="zh-CN" w:bidi="ar-SA"/>
              </w:rPr>
            </w:pPr>
            <w:r>
              <w:rPr>
                <w:rFonts w:hint="default" w:ascii="Times New Roman" w:hAnsi="Times New Roman" w:eastAsia="宋体" w:cs="Times New Roman"/>
                <w:i/>
                <w:iCs/>
                <w:color w:val="auto"/>
                <w:sz w:val="21"/>
                <w:szCs w:val="21"/>
                <w:lang w:val="en-US" w:eastAsia="zh-CN"/>
              </w:rPr>
              <w:t>C</w:t>
            </w:r>
            <w:r>
              <w:rPr>
                <w:rFonts w:hint="eastAsia" w:ascii="Times New Roman" w:hAnsi="Times New Roman" w:eastAsia="宋体" w:cs="Times New Roman"/>
                <w:i/>
                <w:iCs/>
                <w:color w:val="auto"/>
                <w:sz w:val="21"/>
                <w:szCs w:val="21"/>
                <w:vertAlign w:val="subscript"/>
                <w:lang w:val="en-US" w:eastAsia="zh-CN"/>
              </w:rPr>
              <w:t>s2min</w:t>
            </w:r>
            <w:r>
              <w:rPr>
                <w:rFonts w:hint="eastAsia" w:ascii="Times New Roman" w:hAnsi="Times New Roman" w:eastAsia="宋体" w:cs="Times New Roman"/>
                <w:i w:val="0"/>
                <w:iCs w:val="0"/>
                <w:kern w:val="0"/>
                <w:sz w:val="18"/>
                <w:szCs w:val="18"/>
                <w:lang w:val="en-US" w:eastAsia="zh-CN"/>
              </w:rPr>
              <w:t>≤0</w:t>
            </w:r>
            <w:r>
              <w:rPr>
                <w:rFonts w:hint="eastAsia" w:cs="Times New Roman"/>
                <w:i w:val="0"/>
                <w:iCs w:val="0"/>
                <w:kern w:val="0"/>
                <w:sz w:val="18"/>
                <w:szCs w:val="18"/>
                <w:lang w:val="en-US" w:eastAsia="zh-CN"/>
              </w:rPr>
              <w:t>且</w:t>
            </w:r>
            <w:r>
              <w:rPr>
                <w:rFonts w:hint="default" w:ascii="Times New Roman" w:hAnsi="Times New Roman" w:eastAsia="宋体" w:cs="Times New Roman"/>
                <w:i/>
                <w:iCs/>
                <w:color w:val="auto"/>
                <w:sz w:val="21"/>
                <w:szCs w:val="21"/>
                <w:lang w:val="en-US" w:eastAsia="zh-CN"/>
              </w:rPr>
              <w:t>C</w:t>
            </w:r>
            <w:r>
              <w:rPr>
                <w:rFonts w:hint="eastAsia" w:ascii="Times New Roman" w:hAnsi="Times New Roman" w:eastAsia="宋体" w:cs="Times New Roman"/>
                <w:i/>
                <w:iCs/>
                <w:color w:val="auto"/>
                <w:sz w:val="21"/>
                <w:szCs w:val="21"/>
                <w:vertAlign w:val="subscript"/>
                <w:lang w:val="en-US" w:eastAsia="zh-CN"/>
              </w:rPr>
              <w:t>s1m</w:t>
            </w:r>
            <w:r>
              <w:rPr>
                <w:rFonts w:hint="eastAsia" w:cs="Times New Roman"/>
                <w:i/>
                <w:iCs/>
                <w:color w:val="auto"/>
                <w:sz w:val="21"/>
                <w:szCs w:val="21"/>
                <w:vertAlign w:val="subscript"/>
                <w:lang w:val="en-US" w:eastAsia="zh-CN"/>
              </w:rPr>
              <w:t>in</w:t>
            </w:r>
            <w:r>
              <w:rPr>
                <w:rFonts w:hint="eastAsia" w:ascii="Times New Roman" w:hAnsi="Times New Roman" w:eastAsia="宋体" w:cs="Times New Roman"/>
                <w:i w:val="0"/>
                <w:iCs w:val="0"/>
                <w:kern w:val="0"/>
                <w:sz w:val="18"/>
                <w:szCs w:val="18"/>
                <w:lang w:val="en-US" w:eastAsia="zh-CN"/>
              </w:rPr>
              <w:t>＞0</w:t>
            </w:r>
            <w:r>
              <w:rPr>
                <w:rFonts w:hint="eastAsia" w:cs="Times New Roman"/>
                <w:i w:val="0"/>
                <w:iCs w:val="0"/>
                <w:kern w:val="0"/>
                <w:sz w:val="18"/>
                <w:szCs w:val="18"/>
                <w:lang w:val="en-US" w:eastAsia="zh-CN"/>
              </w:rPr>
              <w:t>；</w:t>
            </w:r>
          </w:p>
        </w:tc>
        <w:tc>
          <w:tcPr>
            <w:tcW w:w="4621" w:type="dxa"/>
            <w:shd w:val="clear" w:color="auto" w:fill="auto"/>
            <w:noWrap w:val="0"/>
            <w:vAlign w:val="center"/>
          </w:tcPr>
          <w:p>
            <w:pPr>
              <w:keepNext w:val="0"/>
              <w:keepLines w:val="0"/>
              <w:widowControl/>
              <w:suppressLineNumbers w:val="0"/>
              <w:adjustRightInd w:val="0"/>
              <w:snapToGrid w:val="0"/>
              <w:spacing w:before="0" w:beforeAutospacing="0" w:after="0" w:afterAutospacing="0" w:line="240" w:lineRule="auto"/>
              <w:ind w:left="0" w:leftChars="0" w:right="0" w:rightChars="0"/>
              <w:jc w:val="left"/>
              <w:rPr>
                <w:rFonts w:hint="eastAsia" w:ascii="Times New Roman" w:hAnsi="Times New Roman" w:eastAsia="宋体" w:cs="Times New Roman"/>
                <w:kern w:val="0"/>
                <w:sz w:val="18"/>
                <w:szCs w:val="18"/>
                <w:lang w:val="en-US" w:eastAsia="zh-CN" w:bidi="ar-SA"/>
              </w:rPr>
            </w:pPr>
            <w:r>
              <w:rPr>
                <w:rFonts w:hint="eastAsia" w:ascii="Times New Roman" w:hAnsi="Times New Roman" w:cs="Times New Roman"/>
                <w:kern w:val="0"/>
                <w:sz w:val="18"/>
                <w:szCs w:val="18"/>
                <w:lang w:val="en-US" w:eastAsia="zh-CN"/>
              </w:rPr>
              <w:t>已备案</w:t>
            </w:r>
            <w:r>
              <w:rPr>
                <w:rFonts w:hint="eastAsia" w:cs="Times New Roman"/>
                <w:kern w:val="0"/>
                <w:sz w:val="18"/>
                <w:szCs w:val="18"/>
                <w:lang w:val="en-US" w:eastAsia="zh-CN"/>
              </w:rPr>
              <w:t>且</w:t>
            </w:r>
            <w:r>
              <w:rPr>
                <w:rFonts w:hint="eastAsia" w:ascii="Times New Roman" w:hAnsi="Times New Roman" w:cs="Times New Roman"/>
                <w:kern w:val="0"/>
                <w:sz w:val="18"/>
                <w:szCs w:val="18"/>
                <w:lang w:val="en-US" w:eastAsia="zh-CN"/>
              </w:rPr>
              <w:t>未并网分布式电源无法全部接入，</w:t>
            </w:r>
            <w:r>
              <w:rPr>
                <w:rFonts w:hint="eastAsia" w:cs="Times New Roman"/>
                <w:kern w:val="0"/>
                <w:sz w:val="18"/>
                <w:szCs w:val="18"/>
                <w:lang w:val="en-US" w:eastAsia="zh-CN"/>
              </w:rPr>
              <w:t>应发布备案预警；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7" w:hRule="atLeast"/>
          <w:tblHeader/>
          <w:jc w:val="center"/>
        </w:trPr>
        <w:tc>
          <w:tcPr>
            <w:tcW w:w="1164" w:type="dxa"/>
            <w:vMerge w:val="continue"/>
            <w:noWrap w:val="0"/>
            <w:vAlign w:val="center"/>
          </w:tcPr>
          <w:p>
            <w:pPr>
              <w:keepNext w:val="0"/>
              <w:keepLines w:val="0"/>
              <w:widowControl/>
              <w:suppressLineNumbers w:val="0"/>
              <w:adjustRightInd w:val="0"/>
              <w:snapToGrid w:val="0"/>
              <w:spacing w:before="0" w:beforeAutospacing="0" w:after="0" w:afterAutospacing="0" w:line="312" w:lineRule="exact"/>
              <w:ind w:left="0" w:leftChars="0" w:right="0" w:rightChars="0"/>
              <w:jc w:val="center"/>
              <w:rPr>
                <w:rFonts w:hint="default" w:ascii="Times New Roman" w:hAnsi="Times New Roman" w:cs="Times New Roman"/>
                <w:kern w:val="0"/>
                <w:sz w:val="18"/>
                <w:szCs w:val="18"/>
              </w:rPr>
            </w:pPr>
          </w:p>
        </w:tc>
        <w:tc>
          <w:tcPr>
            <w:tcW w:w="940" w:type="dxa"/>
            <w:noWrap w:val="0"/>
            <w:vAlign w:val="center"/>
          </w:tcPr>
          <w:p>
            <w:pPr>
              <w:keepNext w:val="0"/>
              <w:keepLines w:val="0"/>
              <w:widowControl/>
              <w:suppressLineNumbers w:val="0"/>
              <w:adjustRightInd w:val="0"/>
              <w:snapToGrid w:val="0"/>
              <w:spacing w:before="0" w:beforeAutospacing="0" w:after="0" w:afterAutospacing="0" w:line="312" w:lineRule="exact"/>
              <w:ind w:left="0" w:leftChars="0" w:right="0" w:rightChars="0"/>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红色</w:t>
            </w:r>
          </w:p>
        </w:tc>
        <w:tc>
          <w:tcPr>
            <w:tcW w:w="2372" w:type="dxa"/>
            <w:noWrap w:val="0"/>
            <w:vAlign w:val="center"/>
          </w:tcPr>
          <w:p>
            <w:pPr>
              <w:keepNext w:val="0"/>
              <w:keepLines w:val="0"/>
              <w:widowControl/>
              <w:suppressLineNumbers w:val="0"/>
              <w:adjustRightInd w:val="0"/>
              <w:snapToGrid w:val="0"/>
              <w:spacing w:before="0" w:beforeAutospacing="0" w:after="0" w:afterAutospacing="0" w:line="240" w:lineRule="auto"/>
              <w:ind w:left="0" w:leftChars="0" w:right="0" w:rightChars="0"/>
              <w:jc w:val="center"/>
              <w:rPr>
                <w:rFonts w:hint="default" w:ascii="Times New Roman" w:hAnsi="Times New Roman" w:eastAsia="宋体" w:cs="Times New Roman"/>
                <w:kern w:val="0"/>
                <w:sz w:val="18"/>
                <w:szCs w:val="18"/>
                <w:lang w:val="en-US" w:eastAsia="zh-CN"/>
              </w:rPr>
            </w:pPr>
            <w:r>
              <w:rPr>
                <w:rFonts w:hint="default" w:ascii="Times New Roman" w:hAnsi="Times New Roman" w:eastAsia="宋体" w:cs="Times New Roman"/>
                <w:i/>
                <w:iCs/>
                <w:color w:val="auto"/>
                <w:sz w:val="21"/>
                <w:szCs w:val="21"/>
                <w:lang w:val="en-US" w:eastAsia="zh-CN"/>
              </w:rPr>
              <w:t>C</w:t>
            </w:r>
            <w:r>
              <w:rPr>
                <w:rFonts w:hint="eastAsia" w:ascii="Times New Roman" w:hAnsi="Times New Roman" w:eastAsia="宋体" w:cs="Times New Roman"/>
                <w:i/>
                <w:iCs/>
                <w:color w:val="auto"/>
                <w:sz w:val="21"/>
                <w:szCs w:val="21"/>
                <w:vertAlign w:val="subscript"/>
                <w:lang w:val="en-US" w:eastAsia="zh-CN"/>
              </w:rPr>
              <w:t>s1m</w:t>
            </w:r>
            <w:r>
              <w:rPr>
                <w:rFonts w:hint="eastAsia" w:cs="Times New Roman"/>
                <w:i/>
                <w:iCs/>
                <w:color w:val="auto"/>
                <w:sz w:val="21"/>
                <w:szCs w:val="21"/>
                <w:vertAlign w:val="subscript"/>
                <w:lang w:val="en-US" w:eastAsia="zh-CN"/>
              </w:rPr>
              <w:t>in</w:t>
            </w:r>
            <w:r>
              <w:rPr>
                <w:rFonts w:hint="eastAsia" w:ascii="Times New Roman" w:hAnsi="Times New Roman" w:eastAsia="宋体" w:cs="Times New Roman"/>
                <w:i w:val="0"/>
                <w:iCs w:val="0"/>
                <w:kern w:val="0"/>
                <w:sz w:val="18"/>
                <w:szCs w:val="18"/>
                <w:lang w:val="en-US" w:eastAsia="zh-CN"/>
              </w:rPr>
              <w:t>≤0</w:t>
            </w:r>
            <w:r>
              <w:rPr>
                <w:rFonts w:hint="eastAsia" w:cs="Times New Roman"/>
                <w:i w:val="0"/>
                <w:iCs w:val="0"/>
                <w:kern w:val="0"/>
                <w:sz w:val="18"/>
                <w:szCs w:val="18"/>
                <w:lang w:val="en-US" w:eastAsia="zh-CN"/>
              </w:rPr>
              <w:t>。</w:t>
            </w:r>
          </w:p>
        </w:tc>
        <w:tc>
          <w:tcPr>
            <w:tcW w:w="4621" w:type="dxa"/>
            <w:noWrap w:val="0"/>
            <w:vAlign w:val="center"/>
          </w:tcPr>
          <w:p>
            <w:pPr>
              <w:keepNext w:val="0"/>
              <w:keepLines w:val="0"/>
              <w:widowControl/>
              <w:suppressLineNumbers w:val="0"/>
              <w:adjustRightInd w:val="0"/>
              <w:snapToGrid w:val="0"/>
              <w:spacing w:before="0" w:beforeAutospacing="0" w:after="0" w:afterAutospacing="0" w:line="240" w:lineRule="auto"/>
              <w:ind w:left="0" w:leftChars="0" w:right="0" w:rightChars="0"/>
              <w:jc w:val="both"/>
              <w:rPr>
                <w:rFonts w:hint="default" w:ascii="Times New Roman" w:hAnsi="Times New Roman" w:cs="Times New Roman"/>
                <w:kern w:val="0"/>
                <w:sz w:val="18"/>
                <w:szCs w:val="18"/>
                <w:lang w:val="en-US" w:eastAsia="zh-CN"/>
              </w:rPr>
            </w:pPr>
            <w:r>
              <w:rPr>
                <w:rFonts w:hint="eastAsia" w:cs="Times New Roman"/>
                <w:kern w:val="0"/>
                <w:sz w:val="18"/>
                <w:szCs w:val="18"/>
                <w:lang w:val="en-US" w:eastAsia="zh-CN"/>
              </w:rPr>
              <w:t>在系统承载力未改善前</w:t>
            </w:r>
            <w:r>
              <w:rPr>
                <w:rFonts w:hint="default" w:ascii="Times New Roman" w:hAnsi="Times New Roman" w:cs="Times New Roman"/>
                <w:kern w:val="0"/>
                <w:sz w:val="18"/>
                <w:szCs w:val="18"/>
                <w:lang w:val="en-US" w:eastAsia="zh-CN"/>
              </w:rPr>
              <w:t>，</w:t>
            </w:r>
            <w:r>
              <w:rPr>
                <w:rFonts w:hint="eastAsia" w:cs="Times New Roman"/>
                <w:kern w:val="0"/>
                <w:sz w:val="18"/>
                <w:szCs w:val="18"/>
                <w:lang w:val="en-US" w:eastAsia="zh-CN"/>
              </w:rPr>
              <w:t>应</w:t>
            </w:r>
            <w:r>
              <w:rPr>
                <w:rFonts w:hint="default" w:ascii="Times New Roman" w:hAnsi="Times New Roman" w:cs="Times New Roman"/>
                <w:kern w:val="0"/>
                <w:sz w:val="18"/>
                <w:szCs w:val="18"/>
                <w:lang w:val="en-US" w:eastAsia="zh-CN"/>
              </w:rPr>
              <w:t>暂停新增分布式电源并网</w:t>
            </w:r>
            <w:r>
              <w:rPr>
                <w:rFonts w:hint="eastAsia" w:cs="Times New Roman"/>
                <w:kern w:val="0"/>
                <w:sz w:val="18"/>
                <w:szCs w:val="18"/>
                <w:lang w:val="en-US" w:eastAsia="zh-CN"/>
              </w:rPr>
              <w:t>，同步</w:t>
            </w:r>
            <w:r>
              <w:rPr>
                <w:rFonts w:hint="default" w:ascii="Times New Roman" w:hAnsi="Times New Roman" w:cs="Times New Roman"/>
                <w:kern w:val="0"/>
                <w:sz w:val="18"/>
                <w:szCs w:val="18"/>
                <w:lang w:val="en-US" w:eastAsia="zh-CN"/>
              </w:rPr>
              <w:t>发布备案预警</w:t>
            </w:r>
            <w:r>
              <w:rPr>
                <w:rFonts w:hint="eastAsia" w:ascii="Times New Roman" w:hAnsi="Times New Roman" w:cs="Times New Roman"/>
                <w:kern w:val="0"/>
                <w:sz w:val="18"/>
                <w:szCs w:val="18"/>
                <w:lang w:val="en-US"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blHeader/>
          <w:jc w:val="center"/>
        </w:trPr>
        <w:tc>
          <w:tcPr>
            <w:tcW w:w="9097" w:type="dxa"/>
            <w:gridSpan w:val="4"/>
            <w:noWrap w:val="0"/>
            <w:vAlign w:val="center"/>
          </w:tcPr>
          <w:p>
            <w:pPr>
              <w:keepNext w:val="0"/>
              <w:keepLines w:val="0"/>
              <w:pageBreakBefore w:val="0"/>
              <w:widowControl/>
              <w:suppressLineNumbers w:val="0"/>
              <w:tabs>
                <w:tab w:val="center" w:pos="4201"/>
                <w:tab w:val="right" w:leader="dot" w:pos="9298"/>
              </w:tabs>
              <w:kinsoku/>
              <w:wordWrap/>
              <w:overflowPunct/>
              <w:topLinePunct w:val="0"/>
              <w:autoSpaceDE w:val="0"/>
              <w:autoSpaceDN w:val="0"/>
              <w:bidi w:val="0"/>
              <w:adjustRightInd/>
              <w:snapToGrid/>
              <w:spacing w:before="0" w:beforeAutospacing="0" w:after="0" w:afterAutospacing="0" w:line="240" w:lineRule="auto"/>
              <w:ind w:left="833" w:leftChars="0" w:right="0" w:hanging="414" w:firstLineChars="0"/>
              <w:jc w:val="both"/>
              <w:textAlignment w:val="auto"/>
              <w:rPr>
                <w:rFonts w:hint="default" w:ascii="黑体" w:hAnsi="黑体" w:eastAsia="宋体" w:cs="黑体"/>
                <w:sz w:val="18"/>
                <w:szCs w:val="16"/>
                <w:lang w:val="en-US" w:eastAsia="zh-CN" w:bidi="ar-SA"/>
              </w:rPr>
            </w:pPr>
            <w:r>
              <w:rPr>
                <w:rFonts w:hint="eastAsia" w:ascii="黑体" w:hAnsi="黑体" w:eastAsia="黑体" w:cs="黑体"/>
                <w:sz w:val="18"/>
                <w:szCs w:val="16"/>
                <w:lang w:val="en-US" w:eastAsia="zh-CN" w:bidi="ar-SA"/>
              </w:rPr>
              <w:t>注1：</w:t>
            </w:r>
            <w:r>
              <w:rPr>
                <w:rFonts w:hint="default" w:ascii="Times New Roman" w:hAnsi="Times New Roman" w:eastAsia="黑体" w:cs="Times New Roman"/>
                <w:i/>
                <w:iCs/>
                <w:sz w:val="18"/>
                <w:szCs w:val="16"/>
                <w:lang w:val="en-US" w:eastAsia="zh-CN" w:bidi="ar-SA"/>
              </w:rPr>
              <w:t>C</w:t>
            </w:r>
            <w:r>
              <w:rPr>
                <w:rFonts w:hint="eastAsia" w:ascii="Times New Roman" w:hAnsi="Times New Roman" w:eastAsia="宋体" w:cs="Times New Roman"/>
                <w:i/>
                <w:iCs/>
                <w:color w:val="auto"/>
                <w:sz w:val="21"/>
                <w:szCs w:val="21"/>
                <w:vertAlign w:val="subscript"/>
                <w:lang w:val="en-US" w:eastAsia="zh-CN"/>
              </w:rPr>
              <w:t>s</w:t>
            </w:r>
            <w:r>
              <w:rPr>
                <w:rFonts w:hint="default" w:ascii="Times New Roman" w:hAnsi="Times New Roman" w:eastAsia="黑体" w:cs="Times New Roman"/>
                <w:i/>
                <w:iCs/>
                <w:sz w:val="18"/>
                <w:szCs w:val="16"/>
                <w:vertAlign w:val="subscript"/>
                <w:lang w:val="en-US" w:eastAsia="zh-CN" w:bidi="ar-SA"/>
              </w:rPr>
              <w:t>1m</w:t>
            </w:r>
            <w:r>
              <w:rPr>
                <w:rFonts w:hint="eastAsia" w:eastAsia="黑体" w:cs="Times New Roman"/>
                <w:i/>
                <w:iCs/>
                <w:sz w:val="18"/>
                <w:szCs w:val="16"/>
                <w:vertAlign w:val="subscript"/>
                <w:lang w:val="en-US" w:eastAsia="zh-CN" w:bidi="ar-SA"/>
              </w:rPr>
              <w:t>in</w:t>
            </w:r>
            <w:r>
              <w:rPr>
                <w:rFonts w:hint="eastAsia" w:ascii="宋体" w:hAnsi="宋体" w:eastAsia="宋体" w:cs="宋体"/>
                <w:sz w:val="18"/>
                <w:szCs w:val="16"/>
                <w:lang w:val="en-US" w:eastAsia="zh-CN" w:bidi="ar-SA"/>
              </w:rPr>
              <w:t>表示</w:t>
            </w:r>
            <w:r>
              <w:rPr>
                <w:rFonts w:hint="eastAsia" w:ascii="宋体" w:hAnsi="宋体" w:cs="宋体"/>
                <w:sz w:val="18"/>
                <w:szCs w:val="16"/>
                <w:lang w:val="en-US" w:eastAsia="zh-CN"/>
              </w:rPr>
              <w:t>县级行政区内分布式电源的</w:t>
            </w:r>
            <w:r>
              <w:rPr>
                <w:rFonts w:hint="eastAsia" w:ascii="宋体" w:hAnsi="宋体" w:eastAsia="宋体" w:cs="宋体"/>
                <w:sz w:val="18"/>
                <w:szCs w:val="16"/>
              </w:rPr>
              <w:t>可开放</w:t>
            </w:r>
            <w:r>
              <w:rPr>
                <w:rFonts w:hint="eastAsia" w:ascii="宋体" w:hAnsi="宋体" w:cs="宋体"/>
                <w:sz w:val="18"/>
                <w:szCs w:val="16"/>
                <w:lang w:val="en-US" w:eastAsia="zh-CN"/>
              </w:rPr>
              <w:t>并网</w:t>
            </w:r>
            <w:r>
              <w:rPr>
                <w:rFonts w:hint="eastAsia" w:ascii="宋体" w:hAnsi="宋体" w:eastAsia="宋体" w:cs="宋体"/>
                <w:sz w:val="18"/>
                <w:szCs w:val="16"/>
              </w:rPr>
              <w:t>容量区间</w:t>
            </w:r>
            <w:r>
              <w:rPr>
                <w:rFonts w:hint="eastAsia" w:ascii="宋体" w:hAnsi="宋体" w:cs="宋体"/>
                <w:sz w:val="18"/>
                <w:szCs w:val="16"/>
                <w:lang w:val="en-US" w:eastAsia="zh-CN"/>
              </w:rPr>
              <w:t>下</w:t>
            </w:r>
            <w:r>
              <w:rPr>
                <w:rFonts w:hint="eastAsia" w:ascii="宋体" w:hAnsi="宋体" w:eastAsia="宋体" w:cs="宋体"/>
                <w:sz w:val="18"/>
                <w:szCs w:val="16"/>
                <w:lang w:val="en-US" w:eastAsia="zh-CN"/>
              </w:rPr>
              <w:t>限值；</w:t>
            </w:r>
            <w:r>
              <w:rPr>
                <w:rFonts w:hint="default" w:ascii="Times New Roman" w:hAnsi="Times New Roman" w:eastAsia="黑体" w:cs="Times New Roman"/>
                <w:i/>
                <w:iCs/>
                <w:sz w:val="18"/>
                <w:szCs w:val="16"/>
                <w:lang w:val="en-US" w:eastAsia="zh-CN" w:bidi="ar-SA"/>
              </w:rPr>
              <w:t>C</w:t>
            </w:r>
            <w:r>
              <w:rPr>
                <w:rFonts w:hint="eastAsia" w:ascii="Times New Roman" w:hAnsi="Times New Roman" w:eastAsia="宋体" w:cs="Times New Roman"/>
                <w:i/>
                <w:iCs/>
                <w:color w:val="auto"/>
                <w:sz w:val="21"/>
                <w:szCs w:val="21"/>
                <w:vertAlign w:val="subscript"/>
                <w:lang w:val="en-US" w:eastAsia="zh-CN"/>
              </w:rPr>
              <w:t>s</w:t>
            </w:r>
            <w:r>
              <w:rPr>
                <w:rFonts w:hint="eastAsia" w:ascii="Times New Roman" w:hAnsi="Times New Roman" w:eastAsia="黑体" w:cs="Times New Roman"/>
                <w:i/>
                <w:iCs/>
                <w:sz w:val="18"/>
                <w:szCs w:val="16"/>
                <w:vertAlign w:val="subscript"/>
                <w:lang w:val="en-US" w:eastAsia="zh-CN" w:bidi="ar-SA"/>
              </w:rPr>
              <w:t>2</w:t>
            </w:r>
            <w:r>
              <w:rPr>
                <w:rFonts w:hint="default" w:ascii="Times New Roman" w:hAnsi="Times New Roman" w:eastAsia="黑体" w:cs="Times New Roman"/>
                <w:i/>
                <w:iCs/>
                <w:sz w:val="18"/>
                <w:szCs w:val="16"/>
                <w:vertAlign w:val="subscript"/>
                <w:lang w:val="en-US" w:eastAsia="zh-CN" w:bidi="ar-SA"/>
              </w:rPr>
              <w:t>m</w:t>
            </w:r>
            <w:r>
              <w:rPr>
                <w:rFonts w:hint="eastAsia" w:ascii="Times New Roman" w:hAnsi="Times New Roman" w:eastAsia="黑体" w:cs="Times New Roman"/>
                <w:i/>
                <w:iCs/>
                <w:sz w:val="18"/>
                <w:szCs w:val="16"/>
                <w:vertAlign w:val="subscript"/>
                <w:lang w:val="en-US" w:eastAsia="zh-CN" w:bidi="ar-SA"/>
              </w:rPr>
              <w:t>in</w:t>
            </w:r>
            <w:r>
              <w:rPr>
                <w:rFonts w:hint="eastAsia" w:ascii="宋体" w:hAnsi="宋体" w:eastAsia="宋体" w:cs="宋体"/>
                <w:sz w:val="18"/>
                <w:szCs w:val="16"/>
                <w:lang w:val="en-US" w:eastAsia="zh-CN" w:bidi="ar-SA"/>
              </w:rPr>
              <w:t>表示</w:t>
            </w:r>
            <w:r>
              <w:rPr>
                <w:rFonts w:hint="eastAsia" w:ascii="宋体" w:hAnsi="宋体" w:eastAsia="宋体" w:cs="宋体"/>
                <w:sz w:val="18"/>
                <w:szCs w:val="16"/>
              </w:rPr>
              <w:t>县级行政区内分布式电源的可开放</w:t>
            </w:r>
            <w:r>
              <w:rPr>
                <w:rFonts w:hint="eastAsia" w:ascii="宋体" w:hAnsi="宋体" w:cs="宋体"/>
                <w:sz w:val="18"/>
                <w:szCs w:val="16"/>
                <w:lang w:val="en-US" w:eastAsia="zh-CN"/>
              </w:rPr>
              <w:t>备案</w:t>
            </w:r>
            <w:r>
              <w:rPr>
                <w:rFonts w:hint="eastAsia" w:ascii="宋体" w:hAnsi="宋体" w:eastAsia="宋体" w:cs="宋体"/>
                <w:sz w:val="18"/>
                <w:szCs w:val="16"/>
              </w:rPr>
              <w:t>容量区间</w:t>
            </w:r>
            <w:r>
              <w:rPr>
                <w:rFonts w:hint="eastAsia" w:ascii="宋体" w:hAnsi="宋体" w:eastAsia="宋体" w:cs="宋体"/>
                <w:sz w:val="18"/>
                <w:szCs w:val="16"/>
                <w:lang w:val="en-US" w:eastAsia="zh-CN"/>
              </w:rPr>
              <w:t>下限值</w:t>
            </w:r>
            <w:r>
              <w:rPr>
                <w:rFonts w:hint="eastAsia" w:ascii="宋体" w:hAnsi="宋体" w:cs="宋体"/>
                <w:sz w:val="18"/>
                <w:szCs w:val="16"/>
                <w:lang w:val="en-US" w:eastAsia="zh-CN"/>
              </w:rPr>
              <w:t>。</w:t>
            </w:r>
          </w:p>
          <w:p>
            <w:pPr>
              <w:keepNext w:val="0"/>
              <w:keepLines w:val="0"/>
              <w:widowControl/>
              <w:suppressLineNumbers w:val="0"/>
              <w:tabs>
                <w:tab w:val="center" w:pos="4201"/>
                <w:tab w:val="right" w:leader="dot" w:pos="9298"/>
              </w:tabs>
              <w:topLinePunct w:val="0"/>
              <w:autoSpaceDE w:val="0"/>
              <w:autoSpaceDN w:val="0"/>
              <w:adjustRightInd/>
              <w:snapToGrid/>
              <w:spacing w:before="0" w:beforeAutospacing="0" w:after="0" w:afterAutospacing="0" w:line="240" w:lineRule="auto"/>
              <w:ind w:left="833" w:leftChars="0" w:right="0" w:rightChars="0" w:hanging="414"/>
              <w:jc w:val="both"/>
              <w:rPr>
                <w:rFonts w:hint="eastAsia" w:cs="Times New Roman"/>
                <w:kern w:val="0"/>
                <w:sz w:val="18"/>
                <w:szCs w:val="18"/>
                <w:lang w:val="en-US" w:eastAsia="zh-CN"/>
              </w:rPr>
            </w:pPr>
            <w:r>
              <w:rPr>
                <w:rFonts w:hint="eastAsia" w:ascii="黑体" w:hAnsi="黑体" w:eastAsia="黑体" w:cs="黑体"/>
                <w:sz w:val="18"/>
                <w:szCs w:val="16"/>
                <w:lang w:val="en-US" w:eastAsia="zh-CN" w:bidi="ar-SA"/>
              </w:rPr>
              <w:t>注2：</w:t>
            </w:r>
            <w:r>
              <w:rPr>
                <w:rFonts w:hint="eastAsia" w:ascii="宋体" w:hAnsi="宋体" w:eastAsia="宋体" w:cs="宋体"/>
                <w:sz w:val="18"/>
                <w:szCs w:val="16"/>
                <w:lang w:val="en-US" w:eastAsia="zh-CN" w:bidi="ar-SA"/>
              </w:rPr>
              <w:t>当县级行政区内无220（330）kV变电站时，可按照为其供电的220（330）kV变电站内的变压器评估等级确定该县级行政区评估等级。</w:t>
            </w:r>
          </w:p>
        </w:tc>
      </w:tr>
    </w:tbl>
    <w:p>
      <w:pPr>
        <w:pStyle w:val="173"/>
        <w:keepNext w:val="0"/>
        <w:keepLines w:val="0"/>
        <w:pageBreakBefore w:val="0"/>
        <w:widowControl/>
        <w:numPr>
          <w:ilvl w:val="1"/>
          <w:numId w:val="22"/>
        </w:numPr>
        <w:kinsoku/>
        <w:wordWrap/>
        <w:overflowPunct/>
        <w:topLinePunct w:val="0"/>
        <w:autoSpaceDE/>
        <w:autoSpaceDN/>
        <w:bidi w:val="0"/>
        <w:adjustRightInd/>
        <w:snapToGrid/>
        <w:spacing w:before="313" w:beforeLines="100" w:line="240" w:lineRule="auto"/>
        <w:jc w:val="left"/>
        <w:textAlignment w:val="auto"/>
        <w:outlineLvl w:val="1"/>
        <w:rPr>
          <w:rFonts w:ascii="宋体" w:hAnsi="宋体" w:eastAsia="宋体"/>
          <w:szCs w:val="21"/>
        </w:rPr>
      </w:pPr>
      <w:r>
        <w:rPr>
          <w:rFonts w:hint="eastAsia" w:ascii="宋体" w:hAnsi="宋体" w:eastAsia="宋体"/>
          <w:szCs w:val="21"/>
          <w:lang w:val="en-US" w:eastAsia="zh-CN"/>
        </w:rPr>
        <w:t>220（330）kV及以下各电压等级变压器可开放容量区间应按公式（5）和公式（6）计算得出：</w:t>
      </w:r>
    </w:p>
    <w:p>
      <w:pPr>
        <w:keepNext w:val="0"/>
        <w:keepLines w:val="0"/>
        <w:pageBreakBefore w:val="0"/>
        <w:widowControl/>
        <w:kinsoku/>
        <w:wordWrap/>
        <w:overflowPunct/>
        <w:topLinePunct w:val="0"/>
        <w:autoSpaceDE/>
        <w:autoSpaceDN/>
        <w:bidi w:val="0"/>
        <w:adjustRightInd w:val="0"/>
        <w:snapToGrid/>
        <w:spacing w:before="164" w:beforeLines="50" w:after="164" w:afterLines="50" w:line="240" w:lineRule="auto"/>
        <w:ind w:left="0" w:leftChars="0" w:firstLine="0" w:firstLineChars="0"/>
        <w:jc w:val="both"/>
        <w:textAlignment w:val="baseline"/>
        <w:rPr>
          <w:rFonts w:hint="default" w:ascii="Times New Roman" w:hAnsi="Times New Roman" w:eastAsia="方正仿宋_GBK" w:cs="Times New Roman"/>
          <w:b w:val="0"/>
          <w:bCs w:val="0"/>
          <w:kern w:val="2"/>
          <w:position w:val="-12"/>
          <w:sz w:val="21"/>
          <w:szCs w:val="21"/>
          <w:highlight w:val="none"/>
          <w:lang w:val="en-US" w:eastAsia="zh-CN" w:bidi="ar-SA"/>
        </w:rPr>
      </w:pPr>
      <w:r>
        <w:rPr>
          <w:rFonts w:hint="eastAsia" w:ascii="Times New Roman" w:hAnsi="Times New Roman" w:eastAsia="宋体" w:cs="Times New Roman"/>
          <w:b w:val="0"/>
          <w:bCs/>
          <w:spacing w:val="-2"/>
          <w:kern w:val="11"/>
          <w:position w:val="-12"/>
          <w:sz w:val="21"/>
          <w:szCs w:val="21"/>
          <w:lang w:val="en-US" w:eastAsia="zh-CN" w:bidi="ar-SA"/>
        </w:rPr>
        <w:t xml:space="preserve">                              </w:t>
      </w:r>
      <w:r>
        <w:rPr>
          <w:rFonts w:hint="eastAsia" w:ascii="Times New Roman" w:hAnsi="Times New Roman" w:eastAsia="宋体" w:cs="Times New Roman"/>
          <w:b w:val="0"/>
          <w:bCs/>
          <w:spacing w:val="-2"/>
          <w:kern w:val="11"/>
          <w:position w:val="-12"/>
          <w:sz w:val="21"/>
          <w:szCs w:val="21"/>
          <w:highlight w:val="none"/>
          <w:lang w:val="en-US" w:eastAsia="zh-CN" w:bidi="ar-SA"/>
        </w:rPr>
        <w:t xml:space="preserve">         </w:t>
      </w:r>
      <w:r>
        <w:rPr>
          <w:rFonts w:hint="default" w:ascii="Times New Roman" w:hAnsi="Times New Roman" w:eastAsia="宋体" w:cs="Times New Roman"/>
          <w:b w:val="0"/>
          <w:bCs/>
          <w:spacing w:val="-2"/>
          <w:kern w:val="11"/>
          <w:position w:val="-12"/>
          <w:sz w:val="21"/>
          <w:szCs w:val="21"/>
          <w:highlight w:val="none"/>
          <w:lang w:val="en-US" w:eastAsia="zh-CN" w:bidi="ar-SA"/>
        </w:rPr>
        <w:object>
          <v:shape id="_x0000_i1033" o:spt="75" type="#_x0000_t75" style="height:16.8pt;width:74.05pt;" o:ole="t" filled="f" o:preferrelative="t" stroked="f" coordsize="21600,21600">
            <v:path/>
            <v:fill on="f" focussize="0,0"/>
            <v:stroke on="f"/>
            <v:imagedata r:id="rId32" o:title=""/>
            <o:lock v:ext="edit" aspectratio="t"/>
            <w10:wrap type="none"/>
            <w10:anchorlock/>
          </v:shape>
          <o:OLEObject Type="Embed" ProgID="Equation.KSEE3" ShapeID="_x0000_i1033" DrawAspect="Content" ObjectID="_1468075733" r:id="rId31">
            <o:LockedField>false</o:LockedField>
          </o:OLEObject>
        </w:object>
      </w:r>
      <w:r>
        <w:rPr>
          <w:rFonts w:hint="eastAsia" w:ascii="Times New Roman" w:hAnsi="Times New Roman" w:eastAsia="宋体" w:cs="Times New Roman"/>
          <w:b w:val="0"/>
          <w:bCs/>
          <w:spacing w:val="-2"/>
          <w:kern w:val="11"/>
          <w:position w:val="-12"/>
          <w:sz w:val="21"/>
          <w:szCs w:val="21"/>
          <w:highlight w:val="none"/>
          <w:lang w:val="en-US" w:eastAsia="zh-CN" w:bidi="ar-SA"/>
        </w:rPr>
        <w:t xml:space="preserve">                                   </w:t>
      </w:r>
      <w:r>
        <w:rPr>
          <w:rFonts w:hint="default" w:ascii="Times New Roman" w:hAnsi="Times New Roman" w:eastAsia="方正仿宋_GBK" w:cs="Times New Roman"/>
          <w:b w:val="0"/>
          <w:bCs w:val="0"/>
          <w:kern w:val="2"/>
          <w:position w:val="-12"/>
          <w:sz w:val="21"/>
          <w:szCs w:val="21"/>
          <w:highlight w:val="none"/>
          <w:lang w:val="en-US" w:eastAsia="zh-CN" w:bidi="ar-SA"/>
        </w:rPr>
        <w:t>（</w:t>
      </w:r>
      <w:r>
        <w:rPr>
          <w:rFonts w:hint="eastAsia" w:ascii="Times New Roman" w:hAnsi="Times New Roman" w:eastAsia="方正仿宋_GBK" w:cs="Times New Roman"/>
          <w:b w:val="0"/>
          <w:bCs w:val="0"/>
          <w:kern w:val="2"/>
          <w:position w:val="-12"/>
          <w:sz w:val="21"/>
          <w:szCs w:val="21"/>
          <w:highlight w:val="none"/>
          <w:lang w:val="en-US" w:eastAsia="zh-CN" w:bidi="ar-SA"/>
        </w:rPr>
        <w:t>5</w:t>
      </w:r>
      <w:r>
        <w:rPr>
          <w:rFonts w:hint="default" w:ascii="Times New Roman" w:hAnsi="Times New Roman" w:eastAsia="方正仿宋_GBK" w:cs="Times New Roman"/>
          <w:b w:val="0"/>
          <w:bCs w:val="0"/>
          <w:kern w:val="2"/>
          <w:position w:val="-12"/>
          <w:sz w:val="21"/>
          <w:szCs w:val="21"/>
          <w:highlight w:val="none"/>
          <w:lang w:val="en-US" w:eastAsia="zh-CN" w:bidi="ar-SA"/>
        </w:rPr>
        <w:t>）</w:t>
      </w:r>
    </w:p>
    <w:p>
      <w:pPr>
        <w:pStyle w:val="120"/>
        <w:widowControl/>
        <w:tabs>
          <w:tab w:val="center" w:pos="4201"/>
          <w:tab w:val="right" w:leader="dot" w:pos="9298"/>
        </w:tabs>
        <w:adjustRightInd/>
        <w:spacing w:line="240" w:lineRule="auto"/>
        <w:ind w:firstLine="420"/>
        <w:jc w:val="both"/>
        <w:textAlignment w:val="auto"/>
        <w:rPr>
          <w:rFonts w:hint="default" w:ascii="宋体" w:hAnsi="Times New Roman" w:eastAsia="宋体" w:cs="Times New Roman"/>
          <w:lang w:val="en-US" w:eastAsia="zh-CN"/>
        </w:rPr>
      </w:pPr>
      <w:r>
        <w:rPr>
          <w:rFonts w:hint="eastAsia" w:ascii="宋体" w:hAnsi="Times New Roman" w:eastAsia="宋体" w:cs="Times New Roman"/>
          <w:lang w:val="en-US" w:eastAsia="zh-CN"/>
        </w:rPr>
        <w:t>式中：</w:t>
      </w:r>
    </w:p>
    <w:tbl>
      <w:tblPr>
        <w:tblStyle w:val="75"/>
        <w:tblW w:w="0" w:type="auto"/>
        <w:tblInd w:w="46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32"/>
        <w:gridCol w:w="759"/>
        <w:gridCol w:w="740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732"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textAlignment w:val="baseline"/>
              <w:rPr>
                <w:rFonts w:hint="default" w:hAnsi="Calibri" w:cs="Times New Roman"/>
                <w:szCs w:val="20"/>
                <w:vertAlign w:val="baseline"/>
              </w:rPr>
            </w:pPr>
            <w:r>
              <w:rPr>
                <w:rFonts w:hint="default" w:ascii="Times New Roman" w:hAnsi="Times New Roman" w:eastAsia="宋体" w:cs="Times New Roman"/>
                <w:i/>
                <w:iCs/>
                <w:color w:val="auto"/>
                <w:sz w:val="21"/>
                <w:szCs w:val="21"/>
                <w:lang w:val="en-US" w:eastAsia="zh-CN"/>
              </w:rPr>
              <w:t>C</w:t>
            </w:r>
            <w:r>
              <w:rPr>
                <w:rFonts w:hint="eastAsia" w:ascii="Times New Roman" w:hAnsi="Times New Roman" w:eastAsia="宋体" w:cs="Times New Roman"/>
                <w:i/>
                <w:iCs/>
                <w:color w:val="auto"/>
                <w:sz w:val="21"/>
                <w:szCs w:val="21"/>
                <w:vertAlign w:val="subscript"/>
                <w:lang w:val="en-US" w:eastAsia="zh-CN"/>
              </w:rPr>
              <w:t>d1</w:t>
            </w:r>
          </w:p>
        </w:tc>
        <w:tc>
          <w:tcPr>
            <w:tcW w:w="759"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textAlignment w:val="baseline"/>
              <w:rPr>
                <w:rFonts w:hint="default" w:ascii="Times New Roman" w:hAnsi="Times New Roman" w:eastAsia="宋体" w:cs="Times New Roman"/>
                <w:szCs w:val="20"/>
                <w:vertAlign w:val="baseline"/>
                <w:lang w:eastAsia="zh-CN"/>
              </w:rPr>
            </w:pPr>
            <w:r>
              <w:rPr>
                <w:rFonts w:hint="default" w:ascii="Times New Roman" w:hAnsi="Times New Roman" w:eastAsia="楷体_GB2312" w:cs="Times New Roman"/>
                <w:szCs w:val="20"/>
                <w:vertAlign w:val="baseline"/>
                <w:lang w:eastAsia="zh-CN"/>
              </w:rPr>
              <w:t>——</w:t>
            </w:r>
          </w:p>
        </w:tc>
        <w:tc>
          <w:tcPr>
            <w:tcW w:w="7404"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textAlignment w:val="baseline"/>
              <w:rPr>
                <w:rFonts w:hint="default" w:hAnsi="Calibri" w:cs="Times New Roman"/>
                <w:szCs w:val="20"/>
                <w:vertAlign w:val="baseline"/>
              </w:rPr>
            </w:pPr>
            <w:r>
              <w:rPr>
                <w:rFonts w:hint="eastAsia" w:ascii="Times New Roman" w:hAnsi="Times New Roman" w:eastAsia="宋体" w:cs="Times New Roman"/>
                <w:color w:val="auto"/>
                <w:sz w:val="21"/>
                <w:szCs w:val="21"/>
                <w:lang w:val="en-US" w:eastAsia="zh-CN"/>
              </w:rPr>
              <w:t>某一变压器</w:t>
            </w:r>
            <w:r>
              <w:rPr>
                <w:rFonts w:hint="eastAsia" w:ascii="Times New Roman" w:cs="Times New Roman"/>
                <w:color w:val="auto"/>
                <w:sz w:val="21"/>
                <w:szCs w:val="21"/>
                <w:lang w:val="en-US" w:eastAsia="zh-CN"/>
              </w:rPr>
              <w:t>的分布式电源</w:t>
            </w:r>
            <w:r>
              <w:rPr>
                <w:rFonts w:hint="default" w:ascii="Times New Roman" w:hAnsi="Times New Roman" w:cs="Times New Roman"/>
                <w:sz w:val="21"/>
                <w:szCs w:val="21"/>
              </w:rPr>
              <w:t>可开放</w:t>
            </w:r>
            <w:r>
              <w:rPr>
                <w:rFonts w:hint="eastAsia" w:ascii="Times New Roman" w:cs="Times New Roman"/>
                <w:sz w:val="21"/>
                <w:szCs w:val="21"/>
                <w:lang w:val="en-US" w:eastAsia="zh-CN"/>
              </w:rPr>
              <w:t>并网</w:t>
            </w:r>
            <w:r>
              <w:rPr>
                <w:rFonts w:hint="default" w:ascii="Times New Roman" w:hAnsi="Times New Roman" w:cs="Times New Roman"/>
                <w:sz w:val="21"/>
                <w:szCs w:val="21"/>
              </w:rPr>
              <w:t>容量</w:t>
            </w:r>
            <w:r>
              <w:rPr>
                <w:rFonts w:hint="eastAsia" w:ascii="Times New Roman" w:hAnsi="Times New Roman" w:cs="Times New Roman"/>
                <w:sz w:val="21"/>
                <w:szCs w:val="21"/>
                <w:lang w:val="en-US" w:eastAsia="zh-CN"/>
              </w:rPr>
              <w:t>区间</w:t>
            </w:r>
            <w:r>
              <w:rPr>
                <w:rFonts w:hint="default" w:ascii="Times New Roman" w:hAnsi="Times New Roman" w:eastAsia="宋体" w:cs="Times New Roman"/>
                <w:color w:val="auto"/>
                <w:sz w:val="21"/>
                <w:szCs w:val="21"/>
                <w:lang w:eastAsia="zh-CN"/>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732"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textAlignment w:val="baseline"/>
              <w:rPr>
                <w:rFonts w:hint="default" w:hAnsi="Calibri" w:cs="Times New Roman"/>
                <w:szCs w:val="20"/>
                <w:vertAlign w:val="baseline"/>
              </w:rPr>
            </w:pPr>
            <w:r>
              <w:rPr>
                <w:rFonts w:hint="default" w:ascii="Times New Roman" w:hAnsi="Times New Roman" w:eastAsia="宋体" w:cs="Times New Roman"/>
                <w:i/>
                <w:iCs/>
                <w:color w:val="auto"/>
                <w:sz w:val="21"/>
                <w:szCs w:val="21"/>
                <w:lang w:val="en-US" w:eastAsia="zh-CN"/>
              </w:rPr>
              <w:t>S</w:t>
            </w:r>
            <w:r>
              <w:rPr>
                <w:rFonts w:hint="eastAsia" w:ascii="Times New Roman" w:hAnsi="Times New Roman" w:eastAsia="宋体" w:cs="Times New Roman"/>
                <w:i/>
                <w:iCs/>
                <w:color w:val="auto"/>
                <w:sz w:val="21"/>
                <w:szCs w:val="21"/>
                <w:vertAlign w:val="subscript"/>
                <w:lang w:val="en-US" w:eastAsia="zh-CN"/>
              </w:rPr>
              <w:t>d-con</w:t>
            </w:r>
          </w:p>
        </w:tc>
        <w:tc>
          <w:tcPr>
            <w:tcW w:w="759"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textAlignment w:val="baseline"/>
              <w:rPr>
                <w:rFonts w:hint="default" w:ascii="Times New Roman" w:hAnsi="Times New Roman" w:cs="Times New Roman"/>
                <w:szCs w:val="20"/>
                <w:vertAlign w:val="baseline"/>
              </w:rPr>
            </w:pPr>
            <w:r>
              <w:rPr>
                <w:rFonts w:hint="default" w:ascii="Times New Roman" w:hAnsi="Times New Roman" w:eastAsia="楷体_GB2312" w:cs="Times New Roman"/>
                <w:szCs w:val="20"/>
                <w:vertAlign w:val="baseline"/>
                <w:lang w:eastAsia="zh-CN"/>
              </w:rPr>
              <w:t>——</w:t>
            </w:r>
          </w:p>
        </w:tc>
        <w:tc>
          <w:tcPr>
            <w:tcW w:w="7404"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textAlignment w:val="baseline"/>
              <w:rPr>
                <w:rFonts w:hint="eastAsia" w:hAnsi="Calibri" w:eastAsia="宋体" w:cs="Times New Roman"/>
                <w:szCs w:val="20"/>
                <w:vertAlign w:val="baseline"/>
                <w:lang w:eastAsia="zh-CN"/>
              </w:rPr>
            </w:pPr>
            <w:r>
              <w:rPr>
                <w:rFonts w:hint="eastAsia" w:ascii="Times New Roman" w:hAnsi="Times New Roman" w:eastAsia="宋体" w:cs="Times New Roman"/>
                <w:color w:val="auto"/>
                <w:sz w:val="21"/>
                <w:szCs w:val="21"/>
                <w:lang w:val="en-US" w:eastAsia="zh-CN"/>
              </w:rPr>
              <w:t>某一变压器供电范围内</w:t>
            </w:r>
            <w:r>
              <w:rPr>
                <w:rFonts w:hint="default" w:ascii="Times New Roman" w:hAnsi="Times New Roman" w:eastAsia="宋体" w:cs="Times New Roman"/>
                <w:sz w:val="21"/>
                <w:szCs w:val="21"/>
              </w:rPr>
              <w:t>已</w:t>
            </w:r>
            <w:r>
              <w:rPr>
                <w:rFonts w:hint="default" w:ascii="Times New Roman" w:hAnsi="Times New Roman" w:eastAsia="宋体" w:cs="Times New Roman"/>
                <w:sz w:val="21"/>
                <w:szCs w:val="21"/>
                <w:lang w:val="en-US" w:eastAsia="zh-CN"/>
              </w:rPr>
              <w:t>并网的</w:t>
            </w:r>
            <w:r>
              <w:rPr>
                <w:rFonts w:hint="default" w:ascii="Times New Roman" w:hAnsi="Times New Roman" w:eastAsia="宋体" w:cs="Times New Roman"/>
                <w:sz w:val="21"/>
                <w:szCs w:val="21"/>
                <w:lang w:eastAsia="zh-CN"/>
              </w:rPr>
              <w:t>分布式电源</w:t>
            </w:r>
            <w:r>
              <w:rPr>
                <w:rFonts w:hint="default" w:ascii="Times New Roman" w:hAnsi="Times New Roman" w:eastAsia="宋体" w:cs="Times New Roman"/>
                <w:sz w:val="21"/>
                <w:szCs w:val="21"/>
              </w:rPr>
              <w:t>装机容量</w:t>
            </w:r>
            <w:r>
              <w:rPr>
                <w:rFonts w:hint="eastAsia" w:ascii="Times New Roman" w:hAnsi="Times New Roman" w:eastAsia="宋体" w:cs="Times New Roman"/>
                <w:sz w:val="21"/>
                <w:szCs w:val="21"/>
                <w:lang w:eastAsia="zh-CN"/>
              </w:rPr>
              <w:t>。</w:t>
            </w:r>
          </w:p>
        </w:tc>
      </w:tr>
    </w:tbl>
    <w:p>
      <w:pPr>
        <w:keepNext w:val="0"/>
        <w:keepLines w:val="0"/>
        <w:pageBreakBefore w:val="0"/>
        <w:widowControl/>
        <w:kinsoku/>
        <w:wordWrap/>
        <w:overflowPunct/>
        <w:topLinePunct w:val="0"/>
        <w:autoSpaceDE/>
        <w:autoSpaceDN/>
        <w:bidi w:val="0"/>
        <w:adjustRightInd w:val="0"/>
        <w:snapToGrid/>
        <w:spacing w:before="164" w:beforeLines="50" w:after="164" w:afterLines="50" w:line="240" w:lineRule="auto"/>
        <w:ind w:left="0" w:leftChars="0" w:firstLine="0" w:firstLineChars="0"/>
        <w:jc w:val="both"/>
        <w:textAlignment w:val="baseline"/>
        <w:rPr>
          <w:rFonts w:hint="default" w:ascii="Times New Roman" w:hAnsi="Times New Roman" w:eastAsia="方正仿宋_GBK" w:cs="Times New Roman"/>
          <w:b w:val="0"/>
          <w:bCs w:val="0"/>
          <w:kern w:val="2"/>
          <w:position w:val="-12"/>
          <w:sz w:val="21"/>
          <w:szCs w:val="21"/>
          <w:lang w:val="en-US" w:eastAsia="zh-CN" w:bidi="ar-SA"/>
        </w:rPr>
      </w:pPr>
      <w:r>
        <w:rPr>
          <w:rFonts w:hint="eastAsia" w:ascii="Times New Roman" w:hAnsi="Times New Roman" w:eastAsia="宋体" w:cs="Times New Roman"/>
          <w:b w:val="0"/>
          <w:bCs/>
          <w:spacing w:val="-2"/>
          <w:kern w:val="11"/>
          <w:position w:val="-12"/>
          <w:sz w:val="21"/>
          <w:szCs w:val="21"/>
          <w:lang w:val="en-US" w:eastAsia="zh-CN" w:bidi="ar-SA"/>
        </w:rPr>
        <w:t xml:space="preserve">                                      </w:t>
      </w:r>
      <w:r>
        <w:rPr>
          <w:rFonts w:hint="default" w:ascii="Times New Roman" w:hAnsi="Times New Roman" w:eastAsia="宋体" w:cs="Times New Roman"/>
          <w:b w:val="0"/>
          <w:bCs/>
          <w:spacing w:val="-2"/>
          <w:kern w:val="11"/>
          <w:position w:val="-14"/>
          <w:sz w:val="21"/>
          <w:szCs w:val="21"/>
          <w:lang w:val="en-US" w:eastAsia="zh-CN" w:bidi="ar-SA"/>
        </w:rPr>
        <w:object>
          <v:shape id="_x0000_i1034" o:spt="75" type="#_x0000_t75" style="height:17.75pt;width:76.8pt;" o:ole="t" filled="f" o:preferrelative="t" stroked="f" coordsize="21600,21600">
            <v:path/>
            <v:fill on="f" focussize="0,0"/>
            <v:stroke on="f"/>
            <v:imagedata r:id="rId34" o:title=""/>
            <o:lock v:ext="edit" aspectratio="t"/>
            <w10:wrap type="none"/>
            <w10:anchorlock/>
          </v:shape>
          <o:OLEObject Type="Embed" ProgID="Equation.KSEE3" ShapeID="_x0000_i1034" DrawAspect="Content" ObjectID="_1468075734" r:id="rId33">
            <o:LockedField>false</o:LockedField>
          </o:OLEObject>
        </w:object>
      </w:r>
      <w:r>
        <w:rPr>
          <w:rFonts w:hint="eastAsia" w:ascii="Times New Roman" w:hAnsi="Times New Roman" w:eastAsia="宋体" w:cs="Times New Roman"/>
          <w:b w:val="0"/>
          <w:bCs/>
          <w:spacing w:val="-2"/>
          <w:kern w:val="11"/>
          <w:position w:val="-12"/>
          <w:sz w:val="21"/>
          <w:szCs w:val="21"/>
          <w:lang w:val="en-US" w:eastAsia="zh-CN" w:bidi="ar-SA"/>
        </w:rPr>
        <w:t xml:space="preserve">                                   </w:t>
      </w:r>
      <w:r>
        <w:rPr>
          <w:rFonts w:hint="default" w:ascii="Times New Roman" w:hAnsi="Times New Roman" w:eastAsia="方正仿宋_GBK" w:cs="Times New Roman"/>
          <w:b w:val="0"/>
          <w:bCs w:val="0"/>
          <w:kern w:val="2"/>
          <w:position w:val="-12"/>
          <w:sz w:val="21"/>
          <w:szCs w:val="21"/>
          <w:lang w:val="en-US" w:eastAsia="zh-CN" w:bidi="ar-SA"/>
        </w:rPr>
        <w:t>（</w:t>
      </w:r>
      <w:r>
        <w:rPr>
          <w:rFonts w:hint="eastAsia" w:ascii="Times New Roman" w:hAnsi="Times New Roman" w:eastAsia="方正仿宋_GBK" w:cs="Times New Roman"/>
          <w:b w:val="0"/>
          <w:bCs w:val="0"/>
          <w:kern w:val="2"/>
          <w:position w:val="-12"/>
          <w:sz w:val="21"/>
          <w:szCs w:val="21"/>
          <w:lang w:val="en-US" w:eastAsia="zh-CN" w:bidi="ar-SA"/>
        </w:rPr>
        <w:t>6</w:t>
      </w:r>
      <w:r>
        <w:rPr>
          <w:rFonts w:hint="default" w:ascii="Times New Roman" w:hAnsi="Times New Roman" w:eastAsia="方正仿宋_GBK" w:cs="Times New Roman"/>
          <w:b w:val="0"/>
          <w:bCs w:val="0"/>
          <w:kern w:val="2"/>
          <w:position w:val="-12"/>
          <w:sz w:val="21"/>
          <w:szCs w:val="21"/>
          <w:lang w:val="en-US" w:eastAsia="zh-CN" w:bidi="ar-SA"/>
        </w:rPr>
        <w:t>）</w:t>
      </w:r>
    </w:p>
    <w:p>
      <w:pPr>
        <w:pStyle w:val="120"/>
        <w:widowControl/>
        <w:tabs>
          <w:tab w:val="center" w:pos="4201"/>
          <w:tab w:val="right" w:leader="dot" w:pos="9298"/>
        </w:tabs>
        <w:adjustRightInd/>
        <w:spacing w:line="240" w:lineRule="auto"/>
        <w:ind w:firstLine="420"/>
        <w:jc w:val="both"/>
        <w:textAlignment w:val="auto"/>
        <w:rPr>
          <w:rFonts w:hint="default" w:ascii="宋体" w:hAnsi="Times New Roman" w:eastAsia="宋体" w:cs="Times New Roman"/>
          <w:lang w:val="en-US" w:eastAsia="zh-CN"/>
        </w:rPr>
      </w:pPr>
      <w:r>
        <w:rPr>
          <w:rFonts w:hint="eastAsia" w:ascii="宋体" w:hAnsi="Times New Roman" w:eastAsia="宋体" w:cs="Times New Roman"/>
          <w:lang w:val="en-US" w:eastAsia="zh-CN"/>
        </w:rPr>
        <w:t>式中：</w:t>
      </w:r>
    </w:p>
    <w:tbl>
      <w:tblPr>
        <w:tblStyle w:val="75"/>
        <w:tblW w:w="0" w:type="auto"/>
        <w:tblInd w:w="438"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54"/>
        <w:gridCol w:w="759"/>
        <w:gridCol w:w="740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754"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textAlignment w:val="baseline"/>
              <w:rPr>
                <w:rFonts w:hint="default" w:hAnsi="Calibri" w:cs="Times New Roman"/>
                <w:szCs w:val="20"/>
                <w:vertAlign w:val="baseline"/>
                <w:lang w:val="en-US"/>
              </w:rPr>
            </w:pPr>
            <w:r>
              <w:rPr>
                <w:rFonts w:hint="default" w:ascii="Times New Roman" w:hAnsi="Times New Roman" w:eastAsia="宋体" w:cs="Times New Roman"/>
                <w:i/>
                <w:iCs/>
                <w:color w:val="auto"/>
                <w:sz w:val="21"/>
                <w:szCs w:val="21"/>
                <w:lang w:val="en-US" w:eastAsia="zh-CN"/>
              </w:rPr>
              <w:t>C</w:t>
            </w:r>
            <w:r>
              <w:rPr>
                <w:rFonts w:hint="eastAsia" w:ascii="Times New Roman" w:hAnsi="Times New Roman" w:eastAsia="宋体" w:cs="Times New Roman"/>
                <w:i/>
                <w:iCs/>
                <w:color w:val="auto"/>
                <w:sz w:val="21"/>
                <w:szCs w:val="21"/>
                <w:vertAlign w:val="subscript"/>
                <w:lang w:val="en-US" w:eastAsia="zh-CN"/>
              </w:rPr>
              <w:t>d2</w:t>
            </w:r>
          </w:p>
        </w:tc>
        <w:tc>
          <w:tcPr>
            <w:tcW w:w="759"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textAlignment w:val="baseline"/>
              <w:rPr>
                <w:rFonts w:hint="default" w:ascii="Times New Roman" w:hAnsi="Times New Roman" w:cs="Times New Roman"/>
                <w:szCs w:val="20"/>
                <w:vertAlign w:val="baseline"/>
              </w:rPr>
            </w:pPr>
            <w:r>
              <w:rPr>
                <w:rFonts w:hint="default" w:ascii="Times New Roman" w:hAnsi="Times New Roman" w:eastAsia="楷体_GB2312" w:cs="Times New Roman"/>
                <w:szCs w:val="20"/>
                <w:vertAlign w:val="baseline"/>
                <w:lang w:eastAsia="zh-CN"/>
              </w:rPr>
              <w:t>——</w:t>
            </w:r>
          </w:p>
        </w:tc>
        <w:tc>
          <w:tcPr>
            <w:tcW w:w="7404"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textAlignment w:val="baseline"/>
              <w:rPr>
                <w:rFonts w:hint="default" w:hAnsi="Calibri" w:cs="Times New Roman"/>
                <w:szCs w:val="20"/>
                <w:vertAlign w:val="baseline"/>
              </w:rPr>
            </w:pPr>
            <w:r>
              <w:rPr>
                <w:rFonts w:hint="eastAsia" w:ascii="Times New Roman" w:hAnsi="Times New Roman" w:eastAsia="宋体" w:cs="Times New Roman"/>
                <w:color w:val="auto"/>
                <w:sz w:val="21"/>
                <w:szCs w:val="21"/>
                <w:lang w:val="en-US" w:eastAsia="zh-CN"/>
              </w:rPr>
              <w:t>某一变压器</w:t>
            </w:r>
            <w:r>
              <w:rPr>
                <w:rFonts w:hint="eastAsia" w:ascii="Times New Roman" w:cs="Times New Roman"/>
                <w:color w:val="auto"/>
                <w:sz w:val="21"/>
                <w:szCs w:val="21"/>
                <w:lang w:val="en-US" w:eastAsia="zh-CN"/>
              </w:rPr>
              <w:t>的分布式电源</w:t>
            </w:r>
            <w:r>
              <w:rPr>
                <w:rFonts w:hint="default" w:ascii="Times New Roman" w:hAnsi="Times New Roman" w:cs="Times New Roman"/>
                <w:sz w:val="21"/>
                <w:szCs w:val="21"/>
              </w:rPr>
              <w:t>可开放</w:t>
            </w:r>
            <w:r>
              <w:rPr>
                <w:rFonts w:hint="eastAsia" w:ascii="Times New Roman" w:cs="Times New Roman"/>
                <w:sz w:val="21"/>
                <w:szCs w:val="21"/>
                <w:lang w:val="en-US" w:eastAsia="zh-CN"/>
              </w:rPr>
              <w:t>备案</w:t>
            </w:r>
            <w:r>
              <w:rPr>
                <w:rFonts w:hint="default" w:ascii="Times New Roman" w:hAnsi="Times New Roman" w:cs="Times New Roman"/>
                <w:sz w:val="21"/>
                <w:szCs w:val="21"/>
              </w:rPr>
              <w:t>容量</w:t>
            </w:r>
            <w:r>
              <w:rPr>
                <w:rFonts w:hint="eastAsia" w:ascii="Times New Roman" w:hAnsi="Times New Roman" w:cs="Times New Roman"/>
                <w:sz w:val="21"/>
                <w:szCs w:val="21"/>
                <w:lang w:val="en-US" w:eastAsia="zh-CN"/>
              </w:rPr>
              <w:t>区间</w:t>
            </w:r>
            <w:r>
              <w:rPr>
                <w:rFonts w:hint="default" w:ascii="Times New Roman" w:hAnsi="Times New Roman" w:eastAsia="宋体" w:cs="Times New Roman"/>
                <w:color w:val="auto"/>
                <w:sz w:val="21"/>
                <w:szCs w:val="21"/>
                <w:lang w:eastAsia="zh-CN"/>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97" w:hRule="atLeast"/>
        </w:trPr>
        <w:tc>
          <w:tcPr>
            <w:tcW w:w="754"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textAlignment w:val="baseline"/>
              <w:rPr>
                <w:rFonts w:hint="default" w:hAnsi="Calibri" w:cs="Times New Roman"/>
                <w:szCs w:val="20"/>
                <w:vertAlign w:val="baseline"/>
              </w:rPr>
            </w:pPr>
            <w:r>
              <w:rPr>
                <w:rFonts w:hint="default" w:ascii="Times New Roman" w:hAnsi="Times New Roman" w:eastAsia="宋体" w:cs="Times New Roman"/>
                <w:i/>
                <w:iCs/>
                <w:color w:val="auto"/>
                <w:sz w:val="21"/>
                <w:szCs w:val="21"/>
                <w:lang w:val="en-US" w:eastAsia="zh-CN"/>
              </w:rPr>
              <w:t>S</w:t>
            </w:r>
            <w:r>
              <w:rPr>
                <w:rFonts w:hint="eastAsia" w:ascii="Times New Roman" w:hAnsi="Times New Roman" w:eastAsia="宋体" w:cs="Times New Roman"/>
                <w:i/>
                <w:iCs/>
                <w:color w:val="auto"/>
                <w:sz w:val="21"/>
                <w:szCs w:val="21"/>
                <w:vertAlign w:val="subscript"/>
                <w:lang w:val="en-US" w:eastAsia="zh-CN"/>
              </w:rPr>
              <w:t>d-reg</w:t>
            </w:r>
          </w:p>
        </w:tc>
        <w:tc>
          <w:tcPr>
            <w:tcW w:w="759"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textAlignment w:val="baseline"/>
              <w:rPr>
                <w:rFonts w:hint="default" w:ascii="Times New Roman" w:hAnsi="Times New Roman" w:cs="Times New Roman"/>
                <w:szCs w:val="20"/>
                <w:vertAlign w:val="baseline"/>
              </w:rPr>
            </w:pPr>
            <w:r>
              <w:rPr>
                <w:rFonts w:hint="default" w:ascii="Times New Roman" w:hAnsi="Times New Roman" w:eastAsia="楷体_GB2312" w:cs="Times New Roman"/>
                <w:szCs w:val="20"/>
                <w:vertAlign w:val="baseline"/>
                <w:lang w:eastAsia="zh-CN"/>
              </w:rPr>
              <w:t>——</w:t>
            </w:r>
          </w:p>
        </w:tc>
        <w:tc>
          <w:tcPr>
            <w:tcW w:w="7404" w:type="dxa"/>
            <w:noWrap w:val="0"/>
            <w:vAlign w:val="top"/>
          </w:tcPr>
          <w:p>
            <w:pPr>
              <w:pStyle w:val="120"/>
              <w:keepNext w:val="0"/>
              <w:keepLines w:val="0"/>
              <w:pageBreakBefore w:val="0"/>
              <w:widowControl w:val="0"/>
              <w:suppressLineNumbers w:val="0"/>
              <w:kinsoku/>
              <w:wordWrap/>
              <w:overflowPunct/>
              <w:topLinePunct w:val="0"/>
              <w:autoSpaceDE w:val="0"/>
              <w:autoSpaceDN w:val="0"/>
              <w:bidi w:val="0"/>
              <w:adjustRightInd w:val="0"/>
              <w:snapToGrid/>
              <w:spacing w:before="0" w:beforeAutospacing="0" w:after="0" w:afterAutospacing="0"/>
              <w:ind w:left="0" w:right="0" w:firstLine="0" w:firstLineChars="0"/>
              <w:textAlignment w:val="baseline"/>
              <w:rPr>
                <w:rFonts w:hint="eastAsia" w:hAnsi="Calibri" w:eastAsia="宋体" w:cs="Times New Roman"/>
                <w:szCs w:val="20"/>
                <w:vertAlign w:val="baseline"/>
                <w:lang w:eastAsia="zh-CN"/>
              </w:rPr>
            </w:pPr>
            <w:r>
              <w:rPr>
                <w:rFonts w:hint="eastAsia" w:ascii="Times New Roman" w:hAnsi="Times New Roman" w:eastAsia="宋体" w:cs="Times New Roman"/>
                <w:color w:val="auto"/>
                <w:sz w:val="21"/>
                <w:szCs w:val="21"/>
                <w:lang w:val="en-US" w:eastAsia="zh-CN"/>
              </w:rPr>
              <w:t>某一变压器供电范围内</w:t>
            </w:r>
            <w:r>
              <w:rPr>
                <w:rFonts w:hint="default" w:ascii="Times New Roman" w:hAnsi="Times New Roman" w:eastAsia="宋体" w:cs="Times New Roman"/>
                <w:sz w:val="21"/>
                <w:szCs w:val="21"/>
              </w:rPr>
              <w:t>已</w:t>
            </w:r>
            <w:r>
              <w:rPr>
                <w:rFonts w:hint="default" w:ascii="Times New Roman" w:hAnsi="Times New Roman" w:eastAsia="宋体" w:cs="Times New Roman"/>
                <w:sz w:val="21"/>
                <w:szCs w:val="21"/>
                <w:lang w:val="en-US" w:eastAsia="zh-CN"/>
              </w:rPr>
              <w:t>备案且未并网</w:t>
            </w:r>
            <w:r>
              <w:rPr>
                <w:rFonts w:hint="eastAsia" w:ascii="Times New Roman" w:hAnsi="Times New Roman" w:eastAsia="宋体" w:cs="Times New Roman"/>
                <w:sz w:val="21"/>
                <w:szCs w:val="21"/>
                <w:lang w:val="en-US" w:eastAsia="zh-CN"/>
              </w:rPr>
              <w:t>的</w:t>
            </w:r>
            <w:r>
              <w:rPr>
                <w:rFonts w:hint="default" w:ascii="Times New Roman" w:hAnsi="Times New Roman" w:eastAsia="宋体" w:cs="Times New Roman"/>
                <w:sz w:val="21"/>
                <w:szCs w:val="21"/>
                <w:lang w:eastAsia="zh-CN"/>
              </w:rPr>
              <w:t>分布式电源</w:t>
            </w:r>
            <w:r>
              <w:rPr>
                <w:rFonts w:hint="default" w:ascii="Times New Roman" w:hAnsi="Times New Roman" w:eastAsia="宋体" w:cs="Times New Roman"/>
                <w:sz w:val="21"/>
                <w:szCs w:val="21"/>
              </w:rPr>
              <w:t>装机容量</w:t>
            </w:r>
            <w:r>
              <w:rPr>
                <w:rFonts w:hint="eastAsia" w:ascii="Times New Roman" w:hAnsi="Times New Roman" w:eastAsia="宋体" w:cs="Times New Roman"/>
                <w:sz w:val="21"/>
                <w:szCs w:val="21"/>
                <w:lang w:eastAsia="zh-CN"/>
              </w:rPr>
              <w:t>。</w:t>
            </w:r>
          </w:p>
        </w:tc>
      </w:tr>
    </w:tbl>
    <w:p>
      <w:pPr>
        <w:pStyle w:val="173"/>
        <w:keepNext w:val="0"/>
        <w:keepLines w:val="0"/>
        <w:pageBreakBefore w:val="0"/>
        <w:widowControl/>
        <w:numPr>
          <w:ilvl w:val="1"/>
          <w:numId w:val="22"/>
        </w:numPr>
        <w:kinsoku/>
        <w:wordWrap/>
        <w:overflowPunct/>
        <w:topLinePunct w:val="0"/>
        <w:autoSpaceDE/>
        <w:autoSpaceDN/>
        <w:bidi w:val="0"/>
        <w:adjustRightInd/>
        <w:snapToGrid/>
        <w:spacing w:before="0" w:beforeLines="0" w:line="240" w:lineRule="auto"/>
        <w:jc w:val="left"/>
        <w:textAlignment w:val="auto"/>
        <w:outlineLvl w:val="1"/>
        <w:rPr>
          <w:rFonts w:hint="eastAsia" w:ascii="宋体" w:hAnsi="宋体" w:eastAsia="宋体" w:cs="宋体"/>
          <w:szCs w:val="21"/>
          <w:lang w:val="en-US" w:eastAsia="zh-CN"/>
        </w:rPr>
      </w:pPr>
      <w:r>
        <w:rPr>
          <w:rFonts w:hint="eastAsia" w:ascii="宋体" w:hAnsi="宋体" w:eastAsia="宋体" w:cs="宋体"/>
          <w:szCs w:val="21"/>
          <w:lang w:val="en-US" w:eastAsia="zh-CN"/>
        </w:rPr>
        <w:t>220（330）kV及以下各电压等级变压器可开放容量评估等级应根据表2确定。</w:t>
      </w:r>
    </w:p>
    <w:p>
      <w:pPr>
        <w:pStyle w:val="120"/>
        <w:keepNext w:val="0"/>
        <w:keepLines w:val="0"/>
        <w:pageBreakBefore w:val="0"/>
        <w:widowControl w:val="0"/>
        <w:kinsoku/>
        <w:wordWrap/>
        <w:overflowPunct/>
        <w:topLinePunct w:val="0"/>
        <w:autoSpaceDE w:val="0"/>
        <w:autoSpaceDN w:val="0"/>
        <w:bidi w:val="0"/>
        <w:adjustRightInd w:val="0"/>
        <w:snapToGrid/>
        <w:spacing w:before="157" w:beforeLines="50" w:after="157" w:afterLines="50" w:line="240" w:lineRule="auto"/>
        <w:ind w:left="0" w:leftChars="0" w:firstLine="0" w:firstLineChars="0"/>
        <w:jc w:val="center"/>
        <w:textAlignment w:val="baseline"/>
        <w:rPr>
          <w:rFonts w:hint="default" w:ascii="黑体" w:hAnsi="黑体" w:eastAsia="黑体" w:cs="黑体"/>
          <w:szCs w:val="21"/>
          <w:lang w:val="en-US" w:eastAsia="zh-CN"/>
        </w:rPr>
      </w:pPr>
      <w:r>
        <w:rPr>
          <w:rFonts w:hint="eastAsia" w:ascii="黑体" w:hAnsi="黑体" w:eastAsia="黑体" w:cs="黑体"/>
          <w:lang w:val="en-US" w:eastAsia="zh-CN"/>
        </w:rPr>
        <w:t xml:space="preserve">表2  </w:t>
      </w:r>
      <w:r>
        <w:rPr>
          <w:rFonts w:hint="eastAsia" w:ascii="黑体" w:hAnsi="黑体" w:eastAsia="黑体" w:cs="黑体"/>
          <w:szCs w:val="21"/>
          <w:lang w:val="en-US" w:eastAsia="zh-CN"/>
        </w:rPr>
        <w:t>220（330）kV及以下各电压等级变压器可开放容量评估等级划分</w:t>
      </w:r>
    </w:p>
    <w:tbl>
      <w:tblPr>
        <w:tblStyle w:val="74"/>
        <w:tblW w:w="9097"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037"/>
        <w:gridCol w:w="992"/>
        <w:gridCol w:w="2447"/>
        <w:gridCol w:w="4621"/>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09" w:hRule="atLeast"/>
          <w:tblHeader/>
          <w:jc w:val="center"/>
        </w:trPr>
        <w:tc>
          <w:tcPr>
            <w:tcW w:w="1037" w:type="dxa"/>
            <w:noWrap w:val="0"/>
            <w:vAlign w:val="center"/>
          </w:tcPr>
          <w:p>
            <w:pPr>
              <w:keepNext w:val="0"/>
              <w:keepLines w:val="0"/>
              <w:widowControl/>
              <w:suppressLineNumbers w:val="0"/>
              <w:adjustRightInd w:val="0"/>
              <w:snapToGrid w:val="0"/>
              <w:spacing w:before="0" w:beforeAutospacing="0" w:after="0" w:afterAutospacing="0" w:line="312" w:lineRule="exact"/>
              <w:ind w:left="0" w:right="0"/>
              <w:jc w:val="center"/>
              <w:rPr>
                <w:rFonts w:hint="default" w:ascii="Times New Roman" w:hAnsi="Times New Roman" w:eastAsia="宋体" w:cs="Times New Roman"/>
                <w:kern w:val="0"/>
                <w:sz w:val="18"/>
                <w:szCs w:val="18"/>
                <w:lang w:eastAsia="zh-CN"/>
              </w:rPr>
            </w:pPr>
            <w:r>
              <w:rPr>
                <w:rFonts w:hint="default" w:ascii="Times New Roman" w:hAnsi="Times New Roman" w:cs="Times New Roman"/>
                <w:kern w:val="0"/>
                <w:sz w:val="18"/>
                <w:szCs w:val="18"/>
              </w:rPr>
              <w:t>评估</w:t>
            </w:r>
            <w:r>
              <w:rPr>
                <w:rFonts w:hint="default" w:ascii="Times New Roman" w:hAnsi="Times New Roman" w:cs="Times New Roman"/>
                <w:kern w:val="0"/>
                <w:sz w:val="18"/>
                <w:szCs w:val="18"/>
                <w:lang w:val="en-US" w:eastAsia="zh-CN"/>
              </w:rPr>
              <w:t>对象</w:t>
            </w:r>
          </w:p>
        </w:tc>
        <w:tc>
          <w:tcPr>
            <w:tcW w:w="992" w:type="dxa"/>
            <w:noWrap w:val="0"/>
            <w:vAlign w:val="center"/>
          </w:tcPr>
          <w:p>
            <w:pPr>
              <w:keepNext w:val="0"/>
              <w:keepLines w:val="0"/>
              <w:widowControl/>
              <w:suppressLineNumbers w:val="0"/>
              <w:adjustRightInd w:val="0"/>
              <w:snapToGrid w:val="0"/>
              <w:spacing w:before="0" w:beforeAutospacing="0" w:after="0" w:afterAutospacing="0" w:line="312" w:lineRule="exact"/>
              <w:ind w:left="0" w:right="0"/>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评估等级</w:t>
            </w:r>
          </w:p>
        </w:tc>
        <w:tc>
          <w:tcPr>
            <w:tcW w:w="2447" w:type="dxa"/>
            <w:noWrap w:val="0"/>
            <w:vAlign w:val="center"/>
          </w:tcPr>
          <w:p>
            <w:pPr>
              <w:keepNext w:val="0"/>
              <w:keepLines w:val="0"/>
              <w:widowControl/>
              <w:suppressLineNumbers w:val="0"/>
              <w:adjustRightInd w:val="0"/>
              <w:snapToGrid w:val="0"/>
              <w:spacing w:before="0" w:beforeAutospacing="0" w:after="0" w:afterAutospacing="0" w:line="312" w:lineRule="exact"/>
              <w:ind w:left="0" w:right="0"/>
              <w:jc w:val="center"/>
              <w:rPr>
                <w:rFonts w:hint="eastAsia" w:ascii="Times New Roman" w:hAnsi="Times New Roman" w:eastAsia="宋体" w:cs="Times New Roman"/>
                <w:kern w:val="0"/>
                <w:sz w:val="18"/>
                <w:szCs w:val="18"/>
                <w:lang w:eastAsia="zh-CN"/>
              </w:rPr>
            </w:pPr>
            <w:r>
              <w:rPr>
                <w:rFonts w:hint="default" w:ascii="Times New Roman" w:hAnsi="Times New Roman" w:cs="Times New Roman"/>
                <w:kern w:val="0"/>
                <w:sz w:val="18"/>
                <w:szCs w:val="18"/>
              </w:rPr>
              <w:t>评估</w:t>
            </w:r>
            <w:r>
              <w:rPr>
                <w:rFonts w:hint="eastAsia" w:cs="Times New Roman"/>
                <w:kern w:val="0"/>
                <w:sz w:val="18"/>
                <w:szCs w:val="18"/>
                <w:lang w:val="en-US" w:eastAsia="zh-CN"/>
              </w:rPr>
              <w:t>依据</w:t>
            </w:r>
          </w:p>
        </w:tc>
        <w:tc>
          <w:tcPr>
            <w:tcW w:w="4621" w:type="dxa"/>
            <w:noWrap w:val="0"/>
            <w:vAlign w:val="center"/>
          </w:tcPr>
          <w:p>
            <w:pPr>
              <w:keepNext w:val="0"/>
              <w:keepLines w:val="0"/>
              <w:widowControl/>
              <w:suppressLineNumbers w:val="0"/>
              <w:adjustRightInd w:val="0"/>
              <w:snapToGrid w:val="0"/>
              <w:spacing w:before="0" w:beforeAutospacing="0" w:after="0" w:afterAutospacing="0" w:line="312" w:lineRule="exact"/>
              <w:ind w:left="0" w:right="0"/>
              <w:jc w:val="center"/>
              <w:rPr>
                <w:rFonts w:hint="default" w:ascii="Times New Roman" w:hAnsi="Times New Roman" w:eastAsia="宋体" w:cs="Times New Roman"/>
                <w:kern w:val="0"/>
                <w:sz w:val="18"/>
                <w:szCs w:val="18"/>
                <w:lang w:val="en-US" w:eastAsia="zh-CN"/>
              </w:rPr>
            </w:pPr>
            <w:r>
              <w:rPr>
                <w:rFonts w:hint="eastAsia" w:ascii="Times New Roman" w:hAnsi="Times New Roman" w:cs="Times New Roman"/>
                <w:kern w:val="0"/>
                <w:sz w:val="18"/>
                <w:szCs w:val="18"/>
                <w:lang w:val="en-US" w:eastAsia="zh-CN"/>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blHeader/>
          <w:jc w:val="center"/>
        </w:trPr>
        <w:tc>
          <w:tcPr>
            <w:tcW w:w="1037" w:type="dxa"/>
            <w:vMerge w:val="restart"/>
            <w:noWrap w:val="0"/>
            <w:vAlign w:val="center"/>
          </w:tcPr>
          <w:p>
            <w:pPr>
              <w:keepNext w:val="0"/>
              <w:keepLines w:val="0"/>
              <w:widowControl/>
              <w:suppressLineNumbers w:val="0"/>
              <w:adjustRightInd w:val="0"/>
              <w:snapToGrid w:val="0"/>
              <w:spacing w:before="0" w:beforeAutospacing="0" w:after="0" w:afterAutospacing="0" w:line="312" w:lineRule="exact"/>
              <w:ind w:left="0" w:right="0"/>
              <w:jc w:val="center"/>
              <w:rPr>
                <w:rFonts w:hint="default" w:ascii="Times New Roman" w:hAnsi="Times New Roman" w:eastAsia="宋体" w:cs="Times New Roman"/>
                <w:kern w:val="0"/>
                <w:sz w:val="18"/>
                <w:szCs w:val="18"/>
                <w:lang w:val="en-US" w:eastAsia="zh-CN"/>
              </w:rPr>
            </w:pPr>
            <w:r>
              <w:rPr>
                <w:rFonts w:hint="default" w:ascii="Times New Roman" w:hAnsi="Times New Roman" w:cs="Times New Roman"/>
                <w:kern w:val="0"/>
                <w:sz w:val="18"/>
                <w:szCs w:val="18"/>
              </w:rPr>
              <w:t>220（330）kV及以下</w:t>
            </w:r>
            <w:r>
              <w:rPr>
                <w:rFonts w:hint="eastAsia" w:ascii="Times New Roman" w:hAnsi="Times New Roman" w:cs="Times New Roman"/>
                <w:kern w:val="0"/>
                <w:sz w:val="18"/>
                <w:szCs w:val="18"/>
                <w:lang w:val="en-US" w:eastAsia="zh-CN"/>
              </w:rPr>
              <w:t>各</w:t>
            </w:r>
            <w:r>
              <w:rPr>
                <w:rFonts w:hint="eastAsia"/>
                <w:kern w:val="0"/>
                <w:sz w:val="18"/>
                <w:szCs w:val="18"/>
              </w:rPr>
              <w:t>电压等级</w:t>
            </w:r>
            <w:r>
              <w:rPr>
                <w:rFonts w:hint="eastAsia" w:ascii="Times New Roman" w:hAnsi="Times New Roman" w:cs="Times New Roman"/>
                <w:kern w:val="0"/>
                <w:sz w:val="18"/>
                <w:szCs w:val="18"/>
                <w:lang w:val="en-US" w:eastAsia="zh-CN"/>
              </w:rPr>
              <w:t>变压器</w:t>
            </w:r>
          </w:p>
        </w:tc>
        <w:tc>
          <w:tcPr>
            <w:tcW w:w="992" w:type="dxa"/>
            <w:noWrap w:val="0"/>
            <w:vAlign w:val="center"/>
          </w:tcPr>
          <w:p>
            <w:pPr>
              <w:keepNext w:val="0"/>
              <w:keepLines w:val="0"/>
              <w:widowControl/>
              <w:suppressLineNumbers w:val="0"/>
              <w:adjustRightInd w:val="0"/>
              <w:snapToGrid w:val="0"/>
              <w:spacing w:before="0" w:beforeAutospacing="0" w:after="0" w:afterAutospacing="0" w:line="312" w:lineRule="exact"/>
              <w:ind w:left="0" w:right="0"/>
              <w:jc w:val="center"/>
              <w:rPr>
                <w:rFonts w:hint="default" w:ascii="Times New Roman" w:hAnsi="Times New Roman" w:cs="Times New Roman"/>
                <w:kern w:val="0"/>
                <w:sz w:val="18"/>
                <w:szCs w:val="18"/>
              </w:rPr>
            </w:pPr>
            <w:r>
              <w:rPr>
                <w:rFonts w:hint="default" w:ascii="Times New Roman" w:hAnsi="Times New Roman" w:cs="Times New Roman"/>
                <w:kern w:val="0"/>
                <w:sz w:val="18"/>
                <w:szCs w:val="18"/>
              </w:rPr>
              <w:t>绿色</w:t>
            </w:r>
          </w:p>
        </w:tc>
        <w:tc>
          <w:tcPr>
            <w:tcW w:w="2447" w:type="dxa"/>
            <w:noWrap w:val="0"/>
            <w:vAlign w:val="center"/>
          </w:tcPr>
          <w:p>
            <w:pPr>
              <w:keepNext w:val="0"/>
              <w:keepLines w:val="0"/>
              <w:widowControl/>
              <w:suppressLineNumbers w:val="0"/>
              <w:adjustRightInd w:val="0"/>
              <w:snapToGrid w:val="0"/>
              <w:spacing w:before="0" w:beforeAutospacing="0" w:after="0" w:afterAutospacing="0" w:line="240" w:lineRule="auto"/>
              <w:ind w:left="0" w:right="0"/>
              <w:jc w:val="center"/>
              <w:rPr>
                <w:rFonts w:hint="eastAsia" w:ascii="Times New Roman" w:hAnsi="Times New Roman" w:eastAsia="宋体" w:cs="Times New Roman"/>
                <w:i w:val="0"/>
                <w:iCs w:val="0"/>
                <w:kern w:val="0"/>
                <w:sz w:val="18"/>
                <w:szCs w:val="18"/>
                <w:lang w:val="en-US" w:eastAsia="zh-CN"/>
              </w:rPr>
            </w:pPr>
            <w:r>
              <w:rPr>
                <w:rFonts w:hint="default" w:ascii="Times New Roman" w:hAnsi="Times New Roman" w:eastAsia="宋体" w:cs="Times New Roman"/>
                <w:i/>
                <w:iCs/>
                <w:color w:val="auto"/>
                <w:sz w:val="21"/>
                <w:szCs w:val="21"/>
                <w:lang w:val="en-US" w:eastAsia="zh-CN"/>
              </w:rPr>
              <w:t>C</w:t>
            </w:r>
            <w:r>
              <w:rPr>
                <w:rFonts w:hint="eastAsia" w:ascii="Times New Roman" w:hAnsi="Times New Roman" w:eastAsia="宋体" w:cs="Times New Roman"/>
                <w:i/>
                <w:iCs/>
                <w:color w:val="auto"/>
                <w:sz w:val="21"/>
                <w:szCs w:val="21"/>
                <w:vertAlign w:val="subscript"/>
                <w:lang w:val="en-US" w:eastAsia="zh-CN"/>
              </w:rPr>
              <w:t>d2min</w:t>
            </w:r>
            <w:r>
              <w:rPr>
                <w:rFonts w:hint="eastAsia" w:ascii="Times New Roman" w:hAnsi="Times New Roman" w:eastAsia="宋体" w:cs="Times New Roman"/>
                <w:i w:val="0"/>
                <w:iCs w:val="0"/>
                <w:kern w:val="0"/>
                <w:sz w:val="18"/>
                <w:szCs w:val="18"/>
                <w:lang w:val="en-US" w:eastAsia="zh-CN"/>
              </w:rPr>
              <w:t>＞0</w:t>
            </w:r>
            <w:r>
              <w:rPr>
                <w:rFonts w:hint="eastAsia" w:cs="Times New Roman"/>
                <w:i w:val="0"/>
                <w:iCs w:val="0"/>
                <w:kern w:val="0"/>
                <w:sz w:val="18"/>
                <w:szCs w:val="18"/>
                <w:lang w:val="en-US" w:eastAsia="zh-CN"/>
              </w:rPr>
              <w:t>，</w:t>
            </w:r>
          </w:p>
          <w:p>
            <w:pPr>
              <w:keepNext w:val="0"/>
              <w:keepLines w:val="0"/>
              <w:widowControl/>
              <w:suppressLineNumbers w:val="0"/>
              <w:adjustRightInd w:val="0"/>
              <w:snapToGrid w:val="0"/>
              <w:spacing w:before="0" w:beforeAutospacing="0" w:after="0" w:afterAutospacing="0" w:line="240" w:lineRule="auto"/>
              <w:ind w:left="0" w:right="0"/>
              <w:jc w:val="center"/>
              <w:rPr>
                <w:rFonts w:hint="default" w:ascii="Times New Roman" w:hAnsi="Times New Roman" w:cs="Times New Roman"/>
                <w:kern w:val="0"/>
                <w:sz w:val="18"/>
                <w:szCs w:val="18"/>
                <w:lang w:val="en-US"/>
              </w:rPr>
            </w:pPr>
            <w:r>
              <w:rPr>
                <w:rFonts w:hint="eastAsia" w:ascii="Times New Roman" w:hAnsi="Times New Roman" w:eastAsia="宋体" w:cs="Times New Roman"/>
                <w:i w:val="0"/>
                <w:iCs w:val="0"/>
                <w:kern w:val="0"/>
                <w:sz w:val="18"/>
                <w:szCs w:val="18"/>
                <w:lang w:val="en-US" w:eastAsia="zh-CN"/>
              </w:rPr>
              <w:t>且上级评估等级不为</w:t>
            </w:r>
            <w:r>
              <w:rPr>
                <w:rFonts w:hint="eastAsia" w:ascii="Times New Roman" w:hAnsi="Times New Roman" w:eastAsia="宋体" w:cs="Times New Roman"/>
                <w:i w:val="0"/>
                <w:iCs w:val="0"/>
                <w:kern w:val="0"/>
                <w:sz w:val="18"/>
                <w:szCs w:val="18"/>
                <w:highlight w:val="none"/>
                <w:lang w:val="en-US" w:eastAsia="zh-CN"/>
              </w:rPr>
              <w:t>红色</w:t>
            </w:r>
            <w:r>
              <w:rPr>
                <w:rFonts w:hint="eastAsia" w:cs="Times New Roman"/>
                <w:i w:val="0"/>
                <w:iCs w:val="0"/>
                <w:kern w:val="0"/>
                <w:sz w:val="18"/>
                <w:szCs w:val="18"/>
                <w:highlight w:val="none"/>
                <w:lang w:val="en-US" w:eastAsia="zh-CN"/>
              </w:rPr>
              <w:t>；</w:t>
            </w:r>
          </w:p>
        </w:tc>
        <w:tc>
          <w:tcPr>
            <w:tcW w:w="4621" w:type="dxa"/>
            <w:noWrap w:val="0"/>
            <w:vAlign w:val="center"/>
          </w:tcPr>
          <w:p>
            <w:pPr>
              <w:keepNext w:val="0"/>
              <w:keepLines w:val="0"/>
              <w:widowControl/>
              <w:suppressLineNumbers w:val="0"/>
              <w:adjustRightInd w:val="0"/>
              <w:snapToGrid w:val="0"/>
              <w:spacing w:before="0" w:beforeAutospacing="0" w:after="0" w:afterAutospacing="0" w:line="240" w:lineRule="auto"/>
              <w:ind w:left="0" w:right="0"/>
              <w:jc w:val="left"/>
              <w:rPr>
                <w:rFonts w:hint="default" w:ascii="Times New Roman" w:hAnsi="Times New Roman" w:cs="Times New Roman"/>
                <w:kern w:val="0"/>
                <w:sz w:val="18"/>
                <w:szCs w:val="18"/>
                <w:lang w:val="en-US" w:eastAsia="zh-CN"/>
              </w:rPr>
            </w:pPr>
            <w:r>
              <w:rPr>
                <w:rFonts w:hint="eastAsia"/>
                <w:kern w:val="0"/>
                <w:sz w:val="18"/>
                <w:szCs w:val="18"/>
              </w:rPr>
              <w:t>在已备案分布式电源全部并网后，仍具备分布式电源接入空间</w:t>
            </w:r>
            <w:r>
              <w:rPr>
                <w:rFonts w:hint="eastAsia"/>
                <w:kern w:val="0"/>
                <w:sz w:val="18"/>
                <w:szCs w:val="18"/>
                <w:lang w:eastAsia="zh-CN"/>
              </w:rPr>
              <w:t>；</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blHeader/>
          <w:jc w:val="center"/>
        </w:trPr>
        <w:tc>
          <w:tcPr>
            <w:tcW w:w="1037" w:type="dxa"/>
            <w:vMerge w:val="continue"/>
            <w:noWrap w:val="0"/>
            <w:vAlign w:val="center"/>
          </w:tcPr>
          <w:p>
            <w:pPr>
              <w:keepNext w:val="0"/>
              <w:keepLines w:val="0"/>
              <w:widowControl/>
              <w:suppressLineNumbers w:val="0"/>
              <w:adjustRightInd w:val="0"/>
              <w:snapToGrid w:val="0"/>
              <w:spacing w:before="0" w:beforeAutospacing="0" w:after="0" w:afterAutospacing="0" w:line="312" w:lineRule="exact"/>
              <w:ind w:left="0" w:right="0"/>
              <w:jc w:val="center"/>
              <w:rPr>
                <w:rFonts w:hint="default" w:ascii="Times New Roman" w:hAnsi="Times New Roman" w:cs="Times New Roman"/>
                <w:kern w:val="0"/>
                <w:sz w:val="18"/>
                <w:szCs w:val="18"/>
              </w:rPr>
            </w:pPr>
          </w:p>
        </w:tc>
        <w:tc>
          <w:tcPr>
            <w:tcW w:w="992" w:type="dxa"/>
            <w:shd w:val="clear" w:color="auto" w:fill="auto"/>
            <w:noWrap w:val="0"/>
            <w:vAlign w:val="center"/>
          </w:tcPr>
          <w:p>
            <w:pPr>
              <w:keepNext w:val="0"/>
              <w:keepLines w:val="0"/>
              <w:widowControl/>
              <w:suppressLineNumbers w:val="0"/>
              <w:adjustRightInd w:val="0"/>
              <w:snapToGrid w:val="0"/>
              <w:spacing w:before="0" w:beforeAutospacing="0" w:after="0" w:afterAutospacing="0" w:line="312" w:lineRule="exact"/>
              <w:ind w:left="0" w:leftChars="0" w:right="0" w:rightChars="0"/>
              <w:jc w:val="center"/>
              <w:rPr>
                <w:rFonts w:hint="default" w:ascii="Times New Roman" w:hAnsi="Times New Roman" w:eastAsia="宋体" w:cs="Times New Roman"/>
                <w:kern w:val="0"/>
                <w:sz w:val="18"/>
                <w:szCs w:val="18"/>
                <w:lang w:val="en-US" w:eastAsia="zh-CN" w:bidi="ar-SA"/>
              </w:rPr>
            </w:pPr>
            <w:r>
              <w:rPr>
                <w:rFonts w:hint="default" w:ascii="Times New Roman" w:hAnsi="Times New Roman" w:cs="Times New Roman"/>
                <w:kern w:val="0"/>
                <w:sz w:val="18"/>
                <w:szCs w:val="18"/>
              </w:rPr>
              <w:t>黄色</w:t>
            </w:r>
          </w:p>
        </w:tc>
        <w:tc>
          <w:tcPr>
            <w:tcW w:w="2447" w:type="dxa"/>
            <w:shd w:val="clear" w:color="auto" w:fill="auto"/>
            <w:noWrap w:val="0"/>
            <w:vAlign w:val="center"/>
          </w:tcPr>
          <w:p>
            <w:pPr>
              <w:keepNext w:val="0"/>
              <w:keepLines w:val="0"/>
              <w:widowControl/>
              <w:suppressLineNumbers w:val="0"/>
              <w:snapToGrid w:val="0"/>
              <w:spacing w:before="0" w:beforeAutospacing="0" w:after="0" w:afterAutospacing="0"/>
              <w:ind w:left="0" w:right="0"/>
              <w:jc w:val="center"/>
              <w:rPr>
                <w:rFonts w:hint="default"/>
                <w:szCs w:val="20"/>
              </w:rPr>
            </w:pPr>
            <w:r>
              <w:rPr>
                <w:rFonts w:hint="default" w:ascii="Times New Roman" w:hAnsi="Times New Roman" w:eastAsia="宋体" w:cs="Times New Roman"/>
                <w:i/>
                <w:iCs/>
                <w:color w:val="auto"/>
                <w:sz w:val="21"/>
                <w:szCs w:val="21"/>
                <w:lang w:val="en-US" w:eastAsia="zh-CN"/>
              </w:rPr>
              <w:t>C</w:t>
            </w:r>
            <w:r>
              <w:rPr>
                <w:rFonts w:hint="eastAsia" w:cs="Times New Roman"/>
                <w:i/>
                <w:iCs/>
                <w:color w:val="auto"/>
                <w:sz w:val="21"/>
                <w:szCs w:val="21"/>
                <w:vertAlign w:val="subscript"/>
                <w:lang w:val="en-US" w:eastAsia="zh-CN"/>
              </w:rPr>
              <w:t>d</w:t>
            </w:r>
            <w:r>
              <w:rPr>
                <w:rFonts w:hint="eastAsia" w:ascii="Times New Roman" w:hAnsi="Times New Roman" w:eastAsia="宋体" w:cs="Times New Roman"/>
                <w:i/>
                <w:iCs/>
                <w:color w:val="auto"/>
                <w:sz w:val="21"/>
                <w:szCs w:val="21"/>
                <w:vertAlign w:val="subscript"/>
                <w:lang w:val="en-US" w:eastAsia="zh-CN"/>
              </w:rPr>
              <w:t>2min</w:t>
            </w:r>
            <w:r>
              <w:rPr>
                <w:rFonts w:hint="eastAsia" w:ascii="Times New Roman" w:hAnsi="Times New Roman" w:eastAsia="宋体" w:cs="Times New Roman"/>
                <w:i w:val="0"/>
                <w:iCs w:val="0"/>
                <w:kern w:val="0"/>
                <w:sz w:val="18"/>
                <w:szCs w:val="18"/>
                <w:lang w:val="en-US" w:eastAsia="zh-CN"/>
              </w:rPr>
              <w:t>≤0</w:t>
            </w:r>
            <w:r>
              <w:rPr>
                <w:rFonts w:hint="eastAsia" w:cs="Times New Roman"/>
                <w:i w:val="0"/>
                <w:iCs w:val="0"/>
                <w:kern w:val="0"/>
                <w:sz w:val="18"/>
                <w:szCs w:val="18"/>
                <w:lang w:val="en-US" w:eastAsia="zh-CN"/>
              </w:rPr>
              <w:t>且</w:t>
            </w:r>
            <w:r>
              <w:rPr>
                <w:rFonts w:hint="default" w:ascii="Times New Roman" w:hAnsi="Times New Roman" w:eastAsia="宋体" w:cs="Times New Roman"/>
                <w:i/>
                <w:iCs/>
                <w:color w:val="auto"/>
                <w:sz w:val="21"/>
                <w:szCs w:val="21"/>
                <w:lang w:val="en-US" w:eastAsia="zh-CN"/>
              </w:rPr>
              <w:t>C</w:t>
            </w:r>
            <w:r>
              <w:rPr>
                <w:rFonts w:hint="eastAsia" w:cs="Times New Roman"/>
                <w:i/>
                <w:iCs/>
                <w:color w:val="auto"/>
                <w:sz w:val="21"/>
                <w:szCs w:val="21"/>
                <w:vertAlign w:val="subscript"/>
                <w:lang w:val="en-US" w:eastAsia="zh-CN"/>
              </w:rPr>
              <w:t>d</w:t>
            </w:r>
            <w:r>
              <w:rPr>
                <w:rFonts w:hint="eastAsia" w:ascii="Times New Roman" w:hAnsi="Times New Roman" w:eastAsia="宋体" w:cs="Times New Roman"/>
                <w:i/>
                <w:iCs/>
                <w:color w:val="auto"/>
                <w:sz w:val="21"/>
                <w:szCs w:val="21"/>
                <w:vertAlign w:val="subscript"/>
                <w:lang w:val="en-US" w:eastAsia="zh-CN"/>
              </w:rPr>
              <w:t>1m</w:t>
            </w:r>
            <w:r>
              <w:rPr>
                <w:rFonts w:hint="eastAsia" w:cs="Times New Roman"/>
                <w:i/>
                <w:iCs/>
                <w:color w:val="auto"/>
                <w:sz w:val="21"/>
                <w:szCs w:val="21"/>
                <w:vertAlign w:val="subscript"/>
                <w:lang w:val="en-US" w:eastAsia="zh-CN"/>
              </w:rPr>
              <w:t>in</w:t>
            </w:r>
            <w:r>
              <w:rPr>
                <w:rFonts w:hint="eastAsia" w:ascii="Times New Roman" w:hAnsi="Times New Roman" w:eastAsia="宋体" w:cs="Times New Roman"/>
                <w:i w:val="0"/>
                <w:iCs w:val="0"/>
                <w:kern w:val="0"/>
                <w:sz w:val="18"/>
                <w:szCs w:val="18"/>
                <w:lang w:val="en-US" w:eastAsia="zh-CN"/>
              </w:rPr>
              <w:t>＞0</w:t>
            </w:r>
            <w:r>
              <w:rPr>
                <w:rFonts w:hint="eastAsia" w:cs="Times New Roman"/>
                <w:i w:val="0"/>
                <w:iCs w:val="0"/>
                <w:kern w:val="0"/>
                <w:sz w:val="18"/>
                <w:szCs w:val="18"/>
                <w:lang w:val="en-US" w:eastAsia="zh-CN"/>
              </w:rPr>
              <w:t>，</w:t>
            </w:r>
          </w:p>
          <w:p>
            <w:pPr>
              <w:keepNext w:val="0"/>
              <w:keepLines w:val="0"/>
              <w:widowControl/>
              <w:suppressLineNumbers w:val="0"/>
              <w:adjustRightInd w:val="0"/>
              <w:snapToGrid w:val="0"/>
              <w:spacing w:before="0" w:beforeAutospacing="0" w:after="0" w:afterAutospacing="0" w:line="240" w:lineRule="auto"/>
              <w:ind w:left="0" w:leftChars="0" w:right="0" w:rightChars="0"/>
              <w:jc w:val="center"/>
              <w:rPr>
                <w:rFonts w:hint="eastAsia" w:ascii="Times New Roman" w:hAnsi="Times New Roman" w:eastAsia="宋体" w:cs="Times New Roman"/>
                <w:kern w:val="0"/>
                <w:sz w:val="18"/>
                <w:szCs w:val="18"/>
                <w:lang w:val="en-US" w:eastAsia="zh-CN" w:bidi="ar-SA"/>
              </w:rPr>
            </w:pPr>
            <w:r>
              <w:rPr>
                <w:rFonts w:hint="eastAsia" w:cs="Times New Roman"/>
                <w:i w:val="0"/>
                <w:iCs w:val="0"/>
                <w:kern w:val="0"/>
                <w:sz w:val="18"/>
                <w:szCs w:val="18"/>
                <w:lang w:val="en-US" w:eastAsia="zh-CN"/>
              </w:rPr>
              <w:t>且上级评估等级不为红色；</w:t>
            </w:r>
          </w:p>
        </w:tc>
        <w:tc>
          <w:tcPr>
            <w:tcW w:w="4621" w:type="dxa"/>
            <w:shd w:val="clear" w:color="auto" w:fill="auto"/>
            <w:noWrap w:val="0"/>
            <w:vAlign w:val="center"/>
          </w:tcPr>
          <w:p>
            <w:pPr>
              <w:keepNext w:val="0"/>
              <w:keepLines w:val="0"/>
              <w:widowControl/>
              <w:suppressLineNumbers w:val="0"/>
              <w:adjustRightInd w:val="0"/>
              <w:snapToGrid w:val="0"/>
              <w:spacing w:before="0" w:beforeAutospacing="0" w:after="0" w:afterAutospacing="0" w:line="240" w:lineRule="auto"/>
              <w:ind w:left="0" w:leftChars="0" w:right="0" w:rightChars="0"/>
              <w:jc w:val="left"/>
              <w:rPr>
                <w:rFonts w:hint="eastAsia" w:ascii="Times New Roman" w:hAnsi="Times New Roman" w:eastAsia="宋体" w:cs="Times New Roman"/>
                <w:kern w:val="0"/>
                <w:sz w:val="18"/>
                <w:szCs w:val="18"/>
                <w:lang w:val="en-US" w:eastAsia="zh-CN" w:bidi="ar-SA"/>
              </w:rPr>
            </w:pPr>
            <w:r>
              <w:rPr>
                <w:rFonts w:hint="eastAsia" w:ascii="Times New Roman" w:hAnsi="Times New Roman" w:cs="Times New Roman"/>
                <w:kern w:val="0"/>
                <w:sz w:val="18"/>
                <w:szCs w:val="18"/>
                <w:lang w:val="en-US" w:eastAsia="zh-CN"/>
              </w:rPr>
              <w:t>已备案</w:t>
            </w:r>
            <w:r>
              <w:rPr>
                <w:rFonts w:hint="eastAsia" w:cs="Times New Roman"/>
                <w:kern w:val="0"/>
                <w:sz w:val="18"/>
                <w:szCs w:val="18"/>
                <w:lang w:val="en-US" w:eastAsia="zh-CN"/>
              </w:rPr>
              <w:t>且</w:t>
            </w:r>
            <w:r>
              <w:rPr>
                <w:rFonts w:hint="eastAsia" w:ascii="Times New Roman" w:hAnsi="Times New Roman" w:cs="Times New Roman"/>
                <w:kern w:val="0"/>
                <w:sz w:val="18"/>
                <w:szCs w:val="18"/>
                <w:lang w:val="en-US" w:eastAsia="zh-CN"/>
              </w:rPr>
              <w:t>未并网分布式电源无法全部接入，</w:t>
            </w:r>
            <w:r>
              <w:rPr>
                <w:rFonts w:hint="eastAsia" w:cs="Times New Roman"/>
                <w:kern w:val="0"/>
                <w:sz w:val="18"/>
                <w:szCs w:val="18"/>
                <w:lang w:val="en-US" w:eastAsia="zh-CN"/>
              </w:rPr>
              <w:t>应发布备案预警；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4" w:hRule="atLeast"/>
          <w:tblHeader/>
          <w:jc w:val="center"/>
        </w:trPr>
        <w:tc>
          <w:tcPr>
            <w:tcW w:w="1037" w:type="dxa"/>
            <w:vMerge w:val="continue"/>
            <w:noWrap w:val="0"/>
            <w:vAlign w:val="center"/>
          </w:tcPr>
          <w:p>
            <w:pPr>
              <w:keepNext w:val="0"/>
              <w:keepLines w:val="0"/>
              <w:widowControl/>
              <w:suppressLineNumbers w:val="0"/>
              <w:adjustRightInd w:val="0"/>
              <w:snapToGrid w:val="0"/>
              <w:spacing w:before="0" w:beforeAutospacing="0" w:after="0" w:afterAutospacing="0" w:line="312" w:lineRule="exact"/>
              <w:ind w:left="0" w:right="0"/>
              <w:jc w:val="center"/>
              <w:rPr>
                <w:rFonts w:hint="default" w:ascii="Times New Roman" w:hAnsi="Times New Roman" w:cs="Times New Roman"/>
                <w:kern w:val="0"/>
                <w:sz w:val="18"/>
                <w:szCs w:val="18"/>
              </w:rPr>
            </w:pPr>
          </w:p>
        </w:tc>
        <w:tc>
          <w:tcPr>
            <w:tcW w:w="992" w:type="dxa"/>
            <w:shd w:val="clear" w:color="auto" w:fill="auto"/>
            <w:noWrap w:val="0"/>
            <w:vAlign w:val="center"/>
          </w:tcPr>
          <w:p>
            <w:pPr>
              <w:keepNext w:val="0"/>
              <w:keepLines w:val="0"/>
              <w:widowControl/>
              <w:suppressLineNumbers w:val="0"/>
              <w:adjustRightInd w:val="0"/>
              <w:snapToGrid w:val="0"/>
              <w:spacing w:before="0" w:beforeAutospacing="0" w:after="0" w:afterAutospacing="0" w:line="312" w:lineRule="exact"/>
              <w:ind w:left="0" w:leftChars="0" w:right="0" w:rightChars="0"/>
              <w:jc w:val="center"/>
              <w:rPr>
                <w:rFonts w:hint="default" w:ascii="Times New Roman" w:hAnsi="Times New Roman" w:eastAsia="宋体" w:cs="Times New Roman"/>
                <w:kern w:val="0"/>
                <w:sz w:val="18"/>
                <w:szCs w:val="18"/>
                <w:lang w:val="en-US" w:eastAsia="zh-CN" w:bidi="ar-SA"/>
              </w:rPr>
            </w:pPr>
            <w:r>
              <w:rPr>
                <w:rFonts w:hint="default" w:ascii="Times New Roman" w:hAnsi="Times New Roman" w:cs="Times New Roman"/>
                <w:kern w:val="0"/>
                <w:sz w:val="18"/>
                <w:szCs w:val="18"/>
              </w:rPr>
              <w:t>红色</w:t>
            </w:r>
          </w:p>
        </w:tc>
        <w:tc>
          <w:tcPr>
            <w:tcW w:w="2447" w:type="dxa"/>
            <w:shd w:val="clear" w:color="auto" w:fill="auto"/>
            <w:noWrap w:val="0"/>
            <w:vAlign w:val="center"/>
          </w:tcPr>
          <w:p>
            <w:pPr>
              <w:keepNext w:val="0"/>
              <w:keepLines w:val="0"/>
              <w:widowControl/>
              <w:suppressLineNumbers w:val="0"/>
              <w:adjustRightInd w:val="0"/>
              <w:snapToGrid w:val="0"/>
              <w:spacing w:before="0" w:beforeAutospacing="0" w:after="0" w:afterAutospacing="0" w:line="240" w:lineRule="auto"/>
              <w:ind w:left="0" w:leftChars="0" w:right="0" w:rightChars="0"/>
              <w:jc w:val="center"/>
              <w:rPr>
                <w:rFonts w:hint="eastAsia" w:ascii="Times New Roman" w:hAnsi="Times New Roman" w:eastAsia="宋体" w:cs="Times New Roman"/>
                <w:kern w:val="0"/>
                <w:sz w:val="18"/>
                <w:szCs w:val="18"/>
                <w:lang w:val="en-US" w:eastAsia="zh-CN" w:bidi="ar-SA"/>
              </w:rPr>
            </w:pPr>
            <w:r>
              <w:rPr>
                <w:rFonts w:hint="default" w:ascii="Times New Roman" w:hAnsi="Times New Roman" w:eastAsia="宋体" w:cs="Times New Roman"/>
                <w:i/>
                <w:iCs/>
                <w:color w:val="auto"/>
                <w:sz w:val="21"/>
                <w:szCs w:val="21"/>
                <w:lang w:val="en-US" w:eastAsia="zh-CN"/>
              </w:rPr>
              <w:t>C</w:t>
            </w:r>
            <w:r>
              <w:rPr>
                <w:rFonts w:hint="eastAsia" w:ascii="Times New Roman" w:hAnsi="Times New Roman" w:eastAsia="宋体" w:cs="Times New Roman"/>
                <w:i/>
                <w:iCs/>
                <w:color w:val="auto"/>
                <w:sz w:val="21"/>
                <w:szCs w:val="21"/>
                <w:vertAlign w:val="subscript"/>
                <w:lang w:val="en-US" w:eastAsia="zh-CN"/>
              </w:rPr>
              <w:t>d1</w:t>
            </w:r>
            <w:r>
              <w:rPr>
                <w:rFonts w:hint="eastAsia" w:cs="Times New Roman"/>
                <w:i/>
                <w:iCs/>
                <w:color w:val="auto"/>
                <w:sz w:val="21"/>
                <w:szCs w:val="21"/>
                <w:vertAlign w:val="subscript"/>
                <w:lang w:val="en-US" w:eastAsia="zh-CN"/>
              </w:rPr>
              <w:t>min</w:t>
            </w:r>
            <w:r>
              <w:rPr>
                <w:rFonts w:hint="eastAsia" w:ascii="Times New Roman" w:hAnsi="Times New Roman" w:eastAsia="宋体" w:cs="Times New Roman"/>
                <w:i w:val="0"/>
                <w:iCs w:val="0"/>
                <w:kern w:val="0"/>
                <w:sz w:val="18"/>
                <w:szCs w:val="18"/>
                <w:lang w:val="en-US" w:eastAsia="zh-CN"/>
              </w:rPr>
              <w:t>≤0，或上级评估等级为红色</w:t>
            </w:r>
            <w:r>
              <w:rPr>
                <w:rFonts w:hint="eastAsia" w:cs="Times New Roman"/>
                <w:i w:val="0"/>
                <w:iCs w:val="0"/>
                <w:kern w:val="0"/>
                <w:sz w:val="18"/>
                <w:szCs w:val="18"/>
                <w:lang w:val="en-US" w:eastAsia="zh-CN"/>
              </w:rPr>
              <w:t>。</w:t>
            </w:r>
          </w:p>
        </w:tc>
        <w:tc>
          <w:tcPr>
            <w:tcW w:w="4621" w:type="dxa"/>
            <w:shd w:val="clear" w:color="auto" w:fill="auto"/>
            <w:noWrap w:val="0"/>
            <w:vAlign w:val="center"/>
          </w:tcPr>
          <w:p>
            <w:pPr>
              <w:keepNext w:val="0"/>
              <w:keepLines w:val="0"/>
              <w:widowControl/>
              <w:suppressLineNumbers w:val="0"/>
              <w:adjustRightInd w:val="0"/>
              <w:snapToGrid w:val="0"/>
              <w:spacing w:before="0" w:beforeAutospacing="0" w:after="0" w:afterAutospacing="0" w:line="240" w:lineRule="auto"/>
              <w:ind w:left="0" w:leftChars="0" w:right="0" w:rightChars="0"/>
              <w:jc w:val="left"/>
              <w:rPr>
                <w:rFonts w:hint="eastAsia" w:ascii="Times New Roman" w:hAnsi="Times New Roman" w:eastAsia="宋体" w:cs="Times New Roman"/>
                <w:kern w:val="0"/>
                <w:sz w:val="18"/>
                <w:szCs w:val="18"/>
                <w:lang w:val="en-US" w:eastAsia="zh-CN" w:bidi="ar-SA"/>
              </w:rPr>
            </w:pPr>
            <w:r>
              <w:rPr>
                <w:rFonts w:hint="eastAsia" w:cs="Times New Roman"/>
                <w:kern w:val="0"/>
                <w:sz w:val="18"/>
                <w:szCs w:val="18"/>
                <w:lang w:val="en-US" w:eastAsia="zh-CN"/>
              </w:rPr>
              <w:t>在系统承载力未改善前</w:t>
            </w:r>
            <w:r>
              <w:rPr>
                <w:rFonts w:hint="default" w:ascii="Times New Roman" w:hAnsi="Times New Roman" w:cs="Times New Roman"/>
                <w:kern w:val="0"/>
                <w:sz w:val="18"/>
                <w:szCs w:val="18"/>
                <w:lang w:val="en-US" w:eastAsia="zh-CN"/>
              </w:rPr>
              <w:t>，</w:t>
            </w:r>
            <w:r>
              <w:rPr>
                <w:rFonts w:hint="eastAsia" w:cs="Times New Roman"/>
                <w:kern w:val="0"/>
                <w:sz w:val="18"/>
                <w:szCs w:val="18"/>
                <w:lang w:val="en-US" w:eastAsia="zh-CN"/>
              </w:rPr>
              <w:t>应暂停新增分布式电源并网，同步发布备案预警。</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tblHeader/>
          <w:jc w:val="center"/>
        </w:trPr>
        <w:tc>
          <w:tcPr>
            <w:tcW w:w="9097" w:type="dxa"/>
            <w:gridSpan w:val="4"/>
            <w:noWrap w:val="0"/>
            <w:vAlign w:val="center"/>
          </w:tcPr>
          <w:p>
            <w:pPr>
              <w:keepNext w:val="0"/>
              <w:keepLines w:val="0"/>
              <w:widowControl/>
              <w:suppressLineNumbers w:val="0"/>
              <w:tabs>
                <w:tab w:val="center" w:pos="4201"/>
                <w:tab w:val="right" w:leader="dot" w:pos="9298"/>
              </w:tabs>
              <w:topLinePunct w:val="0"/>
              <w:autoSpaceDE w:val="0"/>
              <w:autoSpaceDN w:val="0"/>
              <w:adjustRightInd/>
              <w:snapToGrid/>
              <w:spacing w:before="0" w:beforeAutospacing="0" w:after="0" w:afterAutospacing="0" w:line="240" w:lineRule="auto"/>
              <w:ind w:left="743" w:leftChars="0" w:right="0" w:rightChars="0" w:hanging="323"/>
              <w:jc w:val="both"/>
              <w:rPr>
                <w:rFonts w:hint="eastAsia" w:cs="Times New Roman"/>
                <w:kern w:val="0"/>
                <w:sz w:val="18"/>
                <w:szCs w:val="18"/>
                <w:lang w:val="en-US" w:eastAsia="zh-CN"/>
              </w:rPr>
            </w:pPr>
            <w:r>
              <w:rPr>
                <w:rFonts w:hint="eastAsia" w:ascii="黑体" w:hAnsi="黑体" w:eastAsia="黑体" w:cs="黑体"/>
                <w:sz w:val="18"/>
                <w:szCs w:val="16"/>
                <w:lang w:val="en-US" w:eastAsia="zh-CN" w:bidi="ar-SA"/>
              </w:rPr>
              <w:t>注：</w:t>
            </w:r>
            <w:r>
              <w:rPr>
                <w:rFonts w:hint="default" w:ascii="Times New Roman" w:hAnsi="Times New Roman" w:eastAsia="黑体" w:cs="Times New Roman"/>
                <w:i/>
                <w:iCs/>
                <w:sz w:val="18"/>
                <w:szCs w:val="16"/>
                <w:lang w:val="en-US" w:eastAsia="zh-CN" w:bidi="ar-SA"/>
              </w:rPr>
              <w:t>C</w:t>
            </w:r>
            <w:r>
              <w:rPr>
                <w:rFonts w:hint="eastAsia" w:ascii="Times New Roman" w:hAnsi="Times New Roman" w:eastAsia="黑体" w:cs="Times New Roman"/>
                <w:i/>
                <w:iCs/>
                <w:sz w:val="18"/>
                <w:szCs w:val="16"/>
                <w:vertAlign w:val="subscript"/>
                <w:lang w:val="en-US" w:eastAsia="zh-CN" w:bidi="ar-SA"/>
              </w:rPr>
              <w:t>d</w:t>
            </w:r>
            <w:r>
              <w:rPr>
                <w:rFonts w:hint="default" w:ascii="Times New Roman" w:hAnsi="Times New Roman" w:eastAsia="黑体" w:cs="Times New Roman"/>
                <w:i/>
                <w:iCs/>
                <w:sz w:val="18"/>
                <w:szCs w:val="16"/>
                <w:vertAlign w:val="subscript"/>
                <w:lang w:val="en-US" w:eastAsia="zh-CN" w:bidi="ar-SA"/>
              </w:rPr>
              <w:t>1m</w:t>
            </w:r>
            <w:r>
              <w:rPr>
                <w:rFonts w:hint="eastAsia" w:ascii="Times New Roman" w:hAnsi="Times New Roman" w:eastAsia="黑体" w:cs="Times New Roman"/>
                <w:i/>
                <w:iCs/>
                <w:sz w:val="18"/>
                <w:szCs w:val="16"/>
                <w:vertAlign w:val="subscript"/>
                <w:lang w:val="en-US" w:eastAsia="zh-CN" w:bidi="ar-SA"/>
              </w:rPr>
              <w:t>in</w:t>
            </w:r>
            <w:r>
              <w:rPr>
                <w:rFonts w:hint="eastAsia" w:ascii="宋体" w:hAnsi="宋体" w:eastAsia="宋体" w:cs="宋体"/>
                <w:sz w:val="18"/>
                <w:szCs w:val="16"/>
                <w:lang w:val="en-US" w:eastAsia="zh-CN" w:bidi="ar-SA"/>
              </w:rPr>
              <w:t>表示</w:t>
            </w:r>
            <w:r>
              <w:rPr>
                <w:rFonts w:hint="eastAsia" w:ascii="宋体" w:hAnsi="宋体" w:eastAsia="宋体" w:cs="宋体"/>
                <w:sz w:val="18"/>
                <w:szCs w:val="16"/>
                <w:lang w:val="en-US" w:eastAsia="zh-CN"/>
              </w:rPr>
              <w:t>某一</w:t>
            </w:r>
            <w:r>
              <w:rPr>
                <w:rFonts w:hint="eastAsia" w:ascii="宋体" w:hAnsi="宋体" w:eastAsia="宋体" w:cs="宋体"/>
                <w:sz w:val="18"/>
                <w:szCs w:val="16"/>
              </w:rPr>
              <w:t>变压器</w:t>
            </w:r>
            <w:r>
              <w:rPr>
                <w:rFonts w:hint="eastAsia" w:ascii="宋体" w:hAnsi="宋体" w:cs="宋体"/>
                <w:sz w:val="18"/>
                <w:szCs w:val="16"/>
                <w:lang w:eastAsia="zh-CN"/>
              </w:rPr>
              <w:t>的</w:t>
            </w:r>
            <w:r>
              <w:rPr>
                <w:rFonts w:hint="eastAsia" w:ascii="宋体" w:hAnsi="宋体" w:cs="宋体"/>
                <w:sz w:val="18"/>
                <w:szCs w:val="16"/>
                <w:lang w:val="en-US" w:eastAsia="zh-CN"/>
              </w:rPr>
              <w:t>分布式电源</w:t>
            </w:r>
            <w:r>
              <w:rPr>
                <w:rFonts w:hint="eastAsia" w:ascii="宋体" w:hAnsi="宋体" w:eastAsia="宋体" w:cs="宋体"/>
                <w:sz w:val="18"/>
                <w:szCs w:val="16"/>
              </w:rPr>
              <w:t>可开放</w:t>
            </w:r>
            <w:r>
              <w:rPr>
                <w:rFonts w:hint="eastAsia" w:ascii="宋体" w:hAnsi="宋体" w:cs="宋体"/>
                <w:sz w:val="18"/>
                <w:szCs w:val="16"/>
                <w:lang w:val="en-US" w:eastAsia="zh-CN"/>
              </w:rPr>
              <w:t>并网</w:t>
            </w:r>
            <w:r>
              <w:rPr>
                <w:rFonts w:hint="eastAsia" w:ascii="宋体" w:hAnsi="宋体" w:eastAsia="宋体" w:cs="宋体"/>
                <w:sz w:val="18"/>
                <w:szCs w:val="16"/>
              </w:rPr>
              <w:t>容量区间</w:t>
            </w:r>
            <w:r>
              <w:rPr>
                <w:rFonts w:hint="eastAsia" w:ascii="宋体" w:hAnsi="宋体" w:cs="宋体"/>
                <w:sz w:val="18"/>
                <w:szCs w:val="16"/>
                <w:lang w:val="en-US" w:eastAsia="zh-CN"/>
              </w:rPr>
              <w:t>下</w:t>
            </w:r>
            <w:r>
              <w:rPr>
                <w:rFonts w:hint="eastAsia" w:ascii="宋体" w:hAnsi="宋体" w:eastAsia="宋体" w:cs="宋体"/>
                <w:sz w:val="18"/>
                <w:szCs w:val="16"/>
                <w:lang w:val="en-US" w:eastAsia="zh-CN"/>
              </w:rPr>
              <w:t>限值；</w:t>
            </w:r>
            <w:r>
              <w:rPr>
                <w:rFonts w:hint="default" w:ascii="Times New Roman" w:hAnsi="Times New Roman" w:eastAsia="黑体" w:cs="Times New Roman"/>
                <w:i/>
                <w:iCs/>
                <w:sz w:val="18"/>
                <w:szCs w:val="16"/>
                <w:lang w:val="en-US" w:eastAsia="zh-CN" w:bidi="ar-SA"/>
              </w:rPr>
              <w:t>C</w:t>
            </w:r>
            <w:r>
              <w:rPr>
                <w:rFonts w:hint="eastAsia" w:ascii="Times New Roman" w:hAnsi="Times New Roman" w:eastAsia="黑体" w:cs="Times New Roman"/>
                <w:i/>
                <w:iCs/>
                <w:sz w:val="18"/>
                <w:szCs w:val="16"/>
                <w:vertAlign w:val="subscript"/>
                <w:lang w:val="en-US" w:eastAsia="zh-CN" w:bidi="ar-SA"/>
              </w:rPr>
              <w:t>d2</w:t>
            </w:r>
            <w:r>
              <w:rPr>
                <w:rFonts w:hint="default" w:ascii="Times New Roman" w:hAnsi="Times New Roman" w:eastAsia="黑体" w:cs="Times New Roman"/>
                <w:i/>
                <w:iCs/>
                <w:sz w:val="18"/>
                <w:szCs w:val="16"/>
                <w:vertAlign w:val="subscript"/>
                <w:lang w:val="en-US" w:eastAsia="zh-CN" w:bidi="ar-SA"/>
              </w:rPr>
              <w:t>m</w:t>
            </w:r>
            <w:r>
              <w:rPr>
                <w:rFonts w:hint="eastAsia" w:ascii="Times New Roman" w:hAnsi="Times New Roman" w:eastAsia="黑体" w:cs="Times New Roman"/>
                <w:i/>
                <w:iCs/>
                <w:sz w:val="18"/>
                <w:szCs w:val="16"/>
                <w:vertAlign w:val="subscript"/>
                <w:lang w:val="en-US" w:eastAsia="zh-CN" w:bidi="ar-SA"/>
              </w:rPr>
              <w:t>in</w:t>
            </w:r>
            <w:r>
              <w:rPr>
                <w:rFonts w:hint="eastAsia" w:ascii="宋体" w:hAnsi="宋体" w:eastAsia="宋体" w:cs="宋体"/>
                <w:sz w:val="18"/>
                <w:szCs w:val="16"/>
                <w:lang w:val="en-US" w:eastAsia="zh-CN" w:bidi="ar-SA"/>
              </w:rPr>
              <w:t>表示</w:t>
            </w:r>
            <w:r>
              <w:rPr>
                <w:rFonts w:hint="eastAsia" w:ascii="宋体" w:hAnsi="宋体" w:eastAsia="宋体" w:cs="宋体"/>
                <w:sz w:val="18"/>
                <w:szCs w:val="16"/>
                <w:lang w:val="en-US" w:eastAsia="zh-CN"/>
              </w:rPr>
              <w:t>某一</w:t>
            </w:r>
            <w:r>
              <w:rPr>
                <w:rFonts w:hint="eastAsia" w:ascii="宋体" w:hAnsi="宋体" w:eastAsia="宋体" w:cs="宋体"/>
                <w:sz w:val="18"/>
                <w:szCs w:val="16"/>
              </w:rPr>
              <w:t>变压器</w:t>
            </w:r>
            <w:r>
              <w:rPr>
                <w:rFonts w:hint="eastAsia" w:ascii="宋体" w:hAnsi="宋体" w:cs="宋体"/>
                <w:sz w:val="18"/>
                <w:szCs w:val="16"/>
                <w:lang w:val="en-US" w:eastAsia="zh-CN"/>
              </w:rPr>
              <w:t>的分布式电源</w:t>
            </w:r>
            <w:r>
              <w:rPr>
                <w:rFonts w:hint="eastAsia" w:ascii="宋体" w:hAnsi="宋体" w:eastAsia="宋体" w:cs="宋体"/>
                <w:sz w:val="18"/>
                <w:szCs w:val="16"/>
              </w:rPr>
              <w:t>可开放</w:t>
            </w:r>
            <w:r>
              <w:rPr>
                <w:rFonts w:hint="eastAsia" w:ascii="宋体" w:hAnsi="宋体" w:cs="宋体"/>
                <w:sz w:val="18"/>
                <w:szCs w:val="16"/>
                <w:lang w:val="en-US" w:eastAsia="zh-CN"/>
              </w:rPr>
              <w:t>备案</w:t>
            </w:r>
            <w:r>
              <w:rPr>
                <w:rFonts w:hint="eastAsia" w:ascii="宋体" w:hAnsi="宋体" w:eastAsia="宋体" w:cs="宋体"/>
                <w:sz w:val="18"/>
                <w:szCs w:val="16"/>
              </w:rPr>
              <w:t>容量区间</w:t>
            </w:r>
            <w:r>
              <w:rPr>
                <w:rFonts w:hint="eastAsia" w:ascii="宋体" w:hAnsi="宋体" w:eastAsia="宋体" w:cs="宋体"/>
                <w:sz w:val="18"/>
                <w:szCs w:val="16"/>
                <w:lang w:val="en-US" w:eastAsia="zh-CN"/>
              </w:rPr>
              <w:t>下限值</w:t>
            </w:r>
            <w:r>
              <w:rPr>
                <w:rFonts w:hint="eastAsia" w:ascii="宋体" w:hAnsi="宋体" w:cs="宋体"/>
                <w:sz w:val="18"/>
                <w:szCs w:val="16"/>
                <w:lang w:val="en-US" w:eastAsia="zh-CN"/>
              </w:rPr>
              <w:t>。</w:t>
            </w:r>
          </w:p>
        </w:tc>
      </w:tr>
    </w:tbl>
    <w:p>
      <w:pPr>
        <w:pStyle w:val="173"/>
        <w:keepNext w:val="0"/>
        <w:keepLines w:val="0"/>
        <w:pageBreakBefore w:val="0"/>
        <w:widowControl/>
        <w:numPr>
          <w:ilvl w:val="1"/>
          <w:numId w:val="22"/>
        </w:numPr>
        <w:kinsoku/>
        <w:wordWrap/>
        <w:overflowPunct/>
        <w:topLinePunct w:val="0"/>
        <w:autoSpaceDE/>
        <w:autoSpaceDN/>
        <w:bidi w:val="0"/>
        <w:adjustRightInd/>
        <w:snapToGrid/>
        <w:spacing w:line="240" w:lineRule="auto"/>
        <w:jc w:val="left"/>
        <w:textAlignment w:val="auto"/>
        <w:outlineLvl w:val="1"/>
        <w:rPr>
          <w:rFonts w:ascii="宋体" w:hAnsi="宋体" w:eastAsia="宋体"/>
          <w:szCs w:val="21"/>
        </w:rPr>
      </w:pPr>
      <w:r>
        <w:rPr>
          <w:rFonts w:hint="eastAsia" w:ascii="宋体" w:hAnsi="宋体" w:eastAsia="宋体"/>
          <w:szCs w:val="21"/>
          <w:lang w:val="en-US" w:eastAsia="zh-CN"/>
        </w:rPr>
        <w:t>分布式电源并网</w:t>
      </w:r>
      <w:r>
        <w:rPr>
          <w:rFonts w:hint="eastAsia" w:ascii="宋体" w:hAnsi="宋体" w:eastAsia="宋体" w:cs="宋体"/>
          <w:szCs w:val="21"/>
          <w:lang w:val="en-US" w:eastAsia="zh-CN"/>
        </w:rPr>
        <w:t>应符合</w:t>
      </w:r>
      <w:r>
        <w:rPr>
          <w:rFonts w:hint="eastAsia" w:ascii="宋体" w:hAnsi="宋体" w:eastAsia="宋体" w:cs="Times New Roman"/>
          <w:szCs w:val="21"/>
        </w:rPr>
        <w:t>GB/T 12325</w:t>
      </w:r>
      <w:r>
        <w:rPr>
          <w:rFonts w:hint="eastAsia"/>
          <w:lang w:eastAsia="zh-CN"/>
        </w:rPr>
        <w:t>、</w:t>
      </w:r>
      <w:r>
        <w:rPr>
          <w:rFonts w:hint="eastAsia" w:ascii="宋体" w:hAnsi="宋体" w:eastAsia="宋体"/>
          <w:szCs w:val="21"/>
          <w:lang w:val="en-US" w:eastAsia="zh-CN"/>
        </w:rPr>
        <w:t>GB/T 33593、GB/T 29319相关要求，在接入系统设计阶段进行</w:t>
      </w:r>
      <w:r>
        <w:rPr>
          <w:rFonts w:hint="eastAsia" w:ascii="宋体" w:hAnsi="宋体" w:eastAsia="宋体" w:cs="宋体"/>
          <w:szCs w:val="21"/>
          <w:lang w:val="en-US" w:eastAsia="zh-CN"/>
        </w:rPr>
        <w:t>短路电流、电压偏差、谐波校核等相关计算分析。</w:t>
      </w:r>
    </w:p>
    <w:p>
      <w:pPr>
        <w:pStyle w:val="119"/>
        <w:widowControl/>
        <w:numPr>
          <w:ilvl w:val="0"/>
          <w:numId w:val="22"/>
        </w:numPr>
        <w:adjustRightInd/>
        <w:spacing w:before="312" w:beforeLines="100" w:after="312" w:afterLines="100" w:line="240" w:lineRule="auto"/>
        <w:textAlignment w:val="auto"/>
        <w:outlineLvl w:val="0"/>
        <w:rPr>
          <w:rFonts w:hint="eastAsia" w:hAnsi="Times New Roman" w:cs="Times New Roman"/>
          <w:lang w:val="en-US" w:eastAsia="zh-CN"/>
        </w:rPr>
      </w:pPr>
      <w:bookmarkStart w:id="207" w:name="_Toc31114"/>
      <w:bookmarkStart w:id="208" w:name="_Toc24552"/>
      <w:bookmarkStart w:id="209" w:name="_Toc8557"/>
      <w:bookmarkStart w:id="210" w:name="_Toc30541"/>
      <w:r>
        <w:rPr>
          <w:rFonts w:hint="eastAsia" w:hAnsi="Times New Roman" w:cs="Times New Roman"/>
          <w:lang w:val="en-US" w:eastAsia="zh-CN"/>
        </w:rPr>
        <w:t>承载力提升措施</w:t>
      </w:r>
      <w:bookmarkEnd w:id="207"/>
      <w:bookmarkEnd w:id="208"/>
      <w:bookmarkEnd w:id="209"/>
      <w:bookmarkEnd w:id="210"/>
    </w:p>
    <w:p>
      <w:pPr>
        <w:pStyle w:val="173"/>
        <w:keepNext w:val="0"/>
        <w:keepLines w:val="0"/>
        <w:pageBreakBefore w:val="0"/>
        <w:widowControl/>
        <w:numPr>
          <w:ilvl w:val="1"/>
          <w:numId w:val="22"/>
        </w:numPr>
        <w:kinsoku/>
        <w:wordWrap/>
        <w:overflowPunct/>
        <w:topLinePunct w:val="0"/>
        <w:autoSpaceDE/>
        <w:autoSpaceDN/>
        <w:bidi w:val="0"/>
        <w:adjustRightInd/>
        <w:snapToGrid/>
        <w:spacing w:line="240" w:lineRule="auto"/>
        <w:jc w:val="left"/>
        <w:textAlignment w:val="auto"/>
        <w:outlineLvl w:val="1"/>
        <w:rPr>
          <w:rFonts w:ascii="宋体" w:hAnsi="宋体" w:eastAsia="宋体"/>
          <w:szCs w:val="21"/>
        </w:rPr>
      </w:pPr>
      <w:r>
        <w:rPr>
          <w:rFonts w:hint="eastAsia" w:ascii="宋体" w:hAnsi="宋体" w:eastAsia="宋体"/>
          <w:szCs w:val="21"/>
          <w:lang w:val="en-US" w:eastAsia="zh-CN"/>
        </w:rPr>
        <w:t>分布式电源接入电力系统承载力提升措施应在保证电力系统安全稳定运行前提下，通过技术经济比选确定。</w:t>
      </w:r>
    </w:p>
    <w:p>
      <w:pPr>
        <w:pStyle w:val="173"/>
        <w:keepNext w:val="0"/>
        <w:keepLines w:val="0"/>
        <w:pageBreakBefore w:val="0"/>
        <w:widowControl/>
        <w:numPr>
          <w:ilvl w:val="1"/>
          <w:numId w:val="22"/>
        </w:numPr>
        <w:kinsoku/>
        <w:wordWrap/>
        <w:overflowPunct/>
        <w:topLinePunct w:val="0"/>
        <w:autoSpaceDE/>
        <w:autoSpaceDN/>
        <w:bidi w:val="0"/>
        <w:adjustRightInd/>
        <w:snapToGrid/>
        <w:spacing w:line="240" w:lineRule="auto"/>
        <w:jc w:val="left"/>
        <w:textAlignment w:val="auto"/>
        <w:outlineLvl w:val="1"/>
        <w:rPr>
          <w:rFonts w:ascii="宋体" w:hAnsi="宋体" w:eastAsia="宋体"/>
          <w:szCs w:val="21"/>
        </w:rPr>
      </w:pPr>
      <w:r>
        <w:rPr>
          <w:rFonts w:hint="eastAsia" w:ascii="宋体" w:hAnsi="宋体" w:eastAsia="宋体"/>
          <w:szCs w:val="21"/>
          <w:lang w:val="en-US" w:eastAsia="zh-CN"/>
        </w:rPr>
        <w:t>系统级承载力提升宜分析经济发展、碳达峰碳中和目标、新能源规划、电力现货市场、分布式电源项目成本等影响，采取优化新能源利用率目标、提升负荷发展水平、建设抽水蓄能电站、建设新型电力储能和火电灵活性改造等措施。</w:t>
      </w:r>
    </w:p>
    <w:p>
      <w:pPr>
        <w:pStyle w:val="173"/>
        <w:keepNext w:val="0"/>
        <w:keepLines w:val="0"/>
        <w:pageBreakBefore w:val="0"/>
        <w:widowControl/>
        <w:numPr>
          <w:ilvl w:val="1"/>
          <w:numId w:val="22"/>
        </w:numPr>
        <w:kinsoku/>
        <w:wordWrap/>
        <w:overflowPunct/>
        <w:topLinePunct w:val="0"/>
        <w:autoSpaceDE/>
        <w:autoSpaceDN/>
        <w:bidi w:val="0"/>
        <w:adjustRightInd/>
        <w:snapToGrid/>
        <w:spacing w:line="240" w:lineRule="auto"/>
        <w:jc w:val="left"/>
        <w:textAlignment w:val="auto"/>
        <w:outlineLvl w:val="1"/>
        <w:rPr>
          <w:rFonts w:ascii="宋体" w:hAnsi="宋体" w:eastAsia="宋体"/>
          <w:szCs w:val="21"/>
        </w:rPr>
      </w:pPr>
      <w:r>
        <w:rPr>
          <w:rFonts w:hint="eastAsia" w:ascii="宋体" w:hAnsi="宋体" w:eastAsia="宋体"/>
          <w:szCs w:val="21"/>
          <w:lang w:val="en-US" w:eastAsia="zh-CN"/>
        </w:rPr>
        <w:t>设备级承载力提升应在不引起短路电流超标、电压偏差和谐波越限的条件下，采取建设新型电力储能、汇流升压接入、线路切改、设备扩容、加装分布式电源联切安控装置等措施。</w:t>
      </w:r>
    </w:p>
    <w:p>
      <w:pPr>
        <w:rPr>
          <w:rFonts w:ascii="宋体" w:hAnsi="宋体" w:eastAsia="宋体"/>
          <w:szCs w:val="21"/>
        </w:rPr>
      </w:pPr>
      <w:r>
        <w:rPr>
          <w:rFonts w:hint="eastAsia" w:ascii="宋体" w:hAnsi="宋体" w:eastAsia="宋体"/>
          <w:szCs w:val="21"/>
          <w:lang w:val="en-US" w:eastAsia="zh-CN"/>
        </w:rPr>
        <w:br w:type="page"/>
      </w:r>
    </w:p>
    <w:bookmarkEnd w:id="192"/>
    <w:bookmarkEnd w:id="193"/>
    <w:bookmarkEnd w:id="194"/>
    <w:p>
      <w:pPr>
        <w:pStyle w:val="410"/>
        <w:keepNext/>
        <w:widowControl/>
        <w:tabs>
          <w:tab w:val="left" w:pos="360"/>
        </w:tabs>
        <w:adjustRightInd/>
        <w:spacing w:before="0" w:after="0" w:line="240" w:lineRule="auto"/>
        <w:textAlignment w:val="auto"/>
        <w:outlineLvl w:val="0"/>
        <w:rPr>
          <w:rFonts w:hint="eastAsia"/>
          <w:lang w:val="en-US" w:eastAsia="zh-CN"/>
        </w:rPr>
      </w:pPr>
      <w:bookmarkStart w:id="211" w:name="_Toc30005"/>
      <w:bookmarkStart w:id="212" w:name="_Toc2559"/>
      <w:bookmarkStart w:id="213" w:name="_Toc15084"/>
      <w:r>
        <w:rPr>
          <w:rFonts w:hint="eastAsia" w:hAnsi="黑体"/>
          <w:szCs w:val="21"/>
          <w:lang w:eastAsia="zh-CN"/>
        </w:rPr>
        <w:t>附　录　A</w:t>
      </w:r>
      <w:r>
        <w:rPr>
          <w:rFonts w:hint="eastAsia" w:hAnsi="黑体"/>
          <w:szCs w:val="21"/>
          <w:lang w:eastAsia="zh-CN"/>
        </w:rPr>
        <w:br w:type="textWrapping"/>
      </w:r>
      <w:bookmarkEnd w:id="211"/>
      <w:bookmarkEnd w:id="212"/>
      <w:bookmarkStart w:id="214" w:name="_Toc29560"/>
      <w:r>
        <w:rPr>
          <w:rFonts w:hint="eastAsia"/>
          <w:lang w:eastAsia="zh-CN"/>
        </w:rPr>
        <w:t>（资料性）</w:t>
      </w:r>
      <w:r>
        <w:rPr>
          <w:rFonts w:hint="eastAsia"/>
          <w:lang w:eastAsia="zh-CN"/>
        </w:rPr>
        <w:br w:type="textWrapping"/>
      </w:r>
      <w:r>
        <w:rPr>
          <w:rFonts w:hint="eastAsia"/>
          <w:lang w:val="en-US" w:eastAsia="zh-CN"/>
        </w:rPr>
        <w:t>分布式电源接入电力系统承载力评估流程</w:t>
      </w:r>
      <w:bookmarkEnd w:id="214"/>
    </w:p>
    <w:p>
      <w:pPr>
        <w:pStyle w:val="410"/>
        <w:keepNext/>
        <w:widowControl/>
        <w:tabs>
          <w:tab w:val="left" w:pos="360"/>
        </w:tabs>
        <w:adjustRightInd/>
        <w:spacing w:before="0" w:after="0" w:line="240" w:lineRule="auto"/>
        <w:jc w:val="both"/>
        <w:textAlignment w:val="auto"/>
        <w:outlineLvl w:val="9"/>
        <w:rPr>
          <w:rFonts w:hint="eastAsia" w:asciiTheme="minorEastAsia" w:hAnsiTheme="minorEastAsia" w:eastAsiaTheme="minorEastAsia" w:cstheme="minorEastAsia"/>
          <w:lang w:val="en-US" w:eastAsia="zh-CN"/>
        </w:rPr>
      </w:pPr>
    </w:p>
    <w:p>
      <w:pPr>
        <w:pStyle w:val="410"/>
        <w:keepNext/>
        <w:widowControl/>
        <w:tabs>
          <w:tab w:val="left" w:pos="360"/>
        </w:tabs>
        <w:adjustRightInd/>
        <w:spacing w:before="0" w:after="0" w:line="240" w:lineRule="auto"/>
        <w:ind w:firstLine="420" w:firstLineChars="200"/>
        <w:jc w:val="both"/>
        <w:textAlignment w:val="auto"/>
        <w:outlineLvl w:val="9"/>
        <w:rPr>
          <w:rFonts w:hint="eastAsia" w:asciiTheme="minorEastAsia" w:hAnsiTheme="minorEastAsia" w:eastAsiaTheme="minorEastAsia" w:cstheme="minorEastAsia"/>
          <w:lang w:val="en-US" w:eastAsia="zh-CN"/>
        </w:rPr>
      </w:pPr>
      <w:r>
        <w:rPr>
          <w:rFonts w:hint="eastAsia" w:asciiTheme="minorEastAsia" w:hAnsiTheme="minorEastAsia" w:eastAsiaTheme="minorEastAsia" w:cstheme="minorEastAsia"/>
          <w:lang w:val="en-US" w:eastAsia="zh-CN"/>
        </w:rPr>
        <w:t>分布式电源接入电力系统承载力评估流程见图A.1。</w:t>
      </w:r>
    </w:p>
    <w:p>
      <w:pPr>
        <w:jc w:val="center"/>
        <w:rPr>
          <w:rFonts w:hint="eastAsia" w:eastAsia="宋体"/>
          <w:lang w:eastAsia="zh-CN"/>
        </w:rPr>
      </w:pPr>
      <w:r>
        <w:rPr>
          <w:rFonts w:hint="eastAsia" w:eastAsia="宋体"/>
          <w:lang w:eastAsia="zh-CN"/>
        </w:rPr>
        <w:drawing>
          <wp:inline distT="0" distB="0" distL="114300" distR="114300">
            <wp:extent cx="4161155" cy="7399655"/>
            <wp:effectExtent l="0" t="0" r="14605" b="6985"/>
            <wp:docPr id="12" name="图片 12" descr="流程图_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descr="流程图_01"/>
                    <pic:cNvPicPr>
                      <a:picLocks noChangeAspect="1"/>
                    </pic:cNvPicPr>
                  </pic:nvPicPr>
                  <pic:blipFill>
                    <a:blip r:embed="rId35"/>
                    <a:stretch>
                      <a:fillRect/>
                    </a:stretch>
                  </pic:blipFill>
                  <pic:spPr>
                    <a:xfrm>
                      <a:off x="0" y="0"/>
                      <a:ext cx="4161155" cy="7399655"/>
                    </a:xfrm>
                    <a:prstGeom prst="rect">
                      <a:avLst/>
                    </a:prstGeom>
                  </pic:spPr>
                </pic:pic>
              </a:graphicData>
            </a:graphic>
          </wp:inline>
        </w:drawing>
      </w:r>
    </w:p>
    <w:p>
      <w:pPr>
        <w:jc w:val="center"/>
        <w:rPr>
          <w:rFonts w:hint="eastAsia" w:eastAsia="宋体"/>
          <w:lang w:eastAsia="zh-CN"/>
        </w:rPr>
      </w:pPr>
      <w:r>
        <w:rPr>
          <w:rFonts w:hint="eastAsia" w:ascii="黑体" w:hAnsi="黑体" w:eastAsia="黑体" w:cs="黑体"/>
          <w:lang w:val="en-US" w:eastAsia="zh-CN"/>
        </w:rPr>
        <w:t>图A.1</w:t>
      </w:r>
      <w:r>
        <w:rPr>
          <w:rFonts w:hint="eastAsia"/>
          <w:lang w:val="en-US" w:eastAsia="zh-CN"/>
        </w:rPr>
        <w:t>　</w:t>
      </w:r>
      <w:r>
        <w:rPr>
          <w:rFonts w:hint="eastAsia" w:ascii="黑体" w:hAnsi="黑体" w:eastAsia="黑体" w:cs="黑体"/>
          <w:lang w:val="en-US" w:eastAsia="zh-CN"/>
        </w:rPr>
        <w:t>分布式电源接入电力系统承载力评估流程图</w:t>
      </w:r>
      <w:r>
        <w:br w:type="page"/>
      </w:r>
    </w:p>
    <w:bookmarkEnd w:id="213"/>
    <w:p>
      <w:pPr>
        <w:pStyle w:val="410"/>
        <w:keepNext/>
        <w:widowControl/>
        <w:tabs>
          <w:tab w:val="left" w:pos="360"/>
        </w:tabs>
        <w:adjustRightInd/>
        <w:spacing w:before="0" w:after="0" w:line="240" w:lineRule="auto"/>
        <w:textAlignment w:val="auto"/>
        <w:outlineLvl w:val="0"/>
        <w:rPr>
          <w:rFonts w:hint="eastAsia"/>
          <w:lang w:val="en-US" w:eastAsia="zh-CN"/>
        </w:rPr>
      </w:pPr>
      <w:bookmarkStart w:id="215" w:name="_Toc29705"/>
      <w:bookmarkStart w:id="216" w:name="_Toc24117"/>
      <w:r>
        <w:rPr>
          <w:rFonts w:hint="eastAsia" w:hAnsi="黑体"/>
          <w:szCs w:val="21"/>
          <w:lang w:eastAsia="zh-CN"/>
        </w:rPr>
        <w:t>附　录　B</w:t>
      </w:r>
      <w:r>
        <w:rPr>
          <w:rFonts w:hint="eastAsia" w:hAnsi="黑体"/>
          <w:szCs w:val="21"/>
          <w:lang w:eastAsia="zh-CN"/>
        </w:rPr>
        <w:br w:type="textWrapping"/>
      </w:r>
      <w:bookmarkEnd w:id="215"/>
      <w:bookmarkEnd w:id="216"/>
      <w:bookmarkStart w:id="217" w:name="_Toc1974"/>
      <w:r>
        <w:rPr>
          <w:rFonts w:hint="eastAsia"/>
          <w:lang w:eastAsia="zh-CN"/>
        </w:rPr>
        <w:t>（资料性）</w:t>
      </w:r>
      <w:r>
        <w:rPr>
          <w:rFonts w:hint="eastAsia"/>
          <w:lang w:eastAsia="zh-CN"/>
        </w:rPr>
        <w:br w:type="textWrapping"/>
      </w:r>
      <w:r>
        <w:rPr>
          <w:rFonts w:hint="eastAsia"/>
          <w:lang w:val="en-US" w:eastAsia="zh-CN"/>
        </w:rPr>
        <w:t>省级行政区或电力调度独立控制区域承载力计算流程</w:t>
      </w:r>
      <w:bookmarkEnd w:id="217"/>
    </w:p>
    <w:p>
      <w:pPr>
        <w:pStyle w:val="410"/>
        <w:keepNext/>
        <w:widowControl/>
        <w:tabs>
          <w:tab w:val="left" w:pos="360"/>
        </w:tabs>
        <w:adjustRightInd/>
        <w:spacing w:before="0" w:after="0" w:line="240" w:lineRule="auto"/>
        <w:textAlignment w:val="auto"/>
        <w:outlineLvl w:val="9"/>
        <w:rPr>
          <w:rFonts w:hint="eastAsia"/>
          <w:lang w:val="en-US" w:eastAsia="zh-CN"/>
        </w:rPr>
      </w:pPr>
    </w:p>
    <w:p>
      <w:pPr>
        <w:widowControl/>
        <w:tabs>
          <w:tab w:val="center" w:pos="4201"/>
          <w:tab w:val="right" w:leader="dot" w:pos="9298"/>
        </w:tabs>
        <w:topLinePunct w:val="0"/>
        <w:autoSpaceDE/>
        <w:autoSpaceDN/>
        <w:adjustRightInd/>
        <w:spacing w:before="313" w:beforeLines="100" w:after="313" w:afterLines="100"/>
        <w:ind w:firstLine="0" w:firstLineChars="0"/>
        <w:outlineLvl w:val="1"/>
        <w:rPr>
          <w:rFonts w:hint="eastAsia"/>
          <w:szCs w:val="21"/>
          <w:lang w:bidi="ar"/>
        </w:rPr>
      </w:pPr>
      <w:r>
        <w:rPr>
          <w:rFonts w:hint="eastAsia" w:ascii="黑体" w:hAnsi="黑体" w:eastAsia="黑体"/>
          <w:kern w:val="0"/>
          <w:lang w:val="en-US" w:eastAsia="zh-CN" w:bidi="ar"/>
        </w:rPr>
        <w:t>B</w:t>
      </w:r>
      <w:r>
        <w:rPr>
          <w:rFonts w:hint="eastAsia" w:ascii="黑体" w:hAnsi="黑体" w:eastAsia="黑体"/>
          <w:kern w:val="0"/>
          <w:lang w:bidi="ar"/>
        </w:rPr>
        <w:t>.1</w:t>
      </w:r>
      <w:r>
        <w:rPr>
          <w:rFonts w:hint="eastAsia" w:ascii="黑体" w:hAnsi="黑体" w:eastAsia="黑体"/>
          <w:kern w:val="0"/>
          <w:lang w:val="en-US" w:eastAsia="zh-CN" w:bidi="ar"/>
        </w:rPr>
        <w:t>　建立模型</w:t>
      </w:r>
    </w:p>
    <w:p>
      <w:pPr>
        <w:widowControl/>
        <w:tabs>
          <w:tab w:val="center" w:pos="4201"/>
          <w:tab w:val="right" w:leader="dot" w:pos="9298"/>
        </w:tabs>
        <w:topLinePunct w:val="0"/>
        <w:autoSpaceDE w:val="0"/>
        <w:autoSpaceDN w:val="0"/>
        <w:adjustRightInd/>
        <w:ind w:firstLine="420" w:firstLineChars="200"/>
        <w:outlineLvl w:val="1"/>
        <w:rPr>
          <w:rFonts w:hint="eastAsia"/>
          <w:szCs w:val="21"/>
          <w:lang w:bidi="ar"/>
        </w:rPr>
      </w:pPr>
      <w:r>
        <w:rPr>
          <w:rFonts w:hint="eastAsia"/>
          <w:szCs w:val="21"/>
          <w:lang w:bidi="ar"/>
        </w:rPr>
        <w:t>结合评估区域内电力平衡分析所确定的边界条件，考虑全年逐时刻电力平衡和系统运行约束，建立全年时序生产模拟仿真模型。</w:t>
      </w:r>
    </w:p>
    <w:p>
      <w:pPr>
        <w:widowControl/>
        <w:tabs>
          <w:tab w:val="center" w:pos="4201"/>
          <w:tab w:val="right" w:leader="dot" w:pos="9298"/>
        </w:tabs>
        <w:topLinePunct w:val="0"/>
        <w:autoSpaceDE/>
        <w:autoSpaceDN/>
        <w:adjustRightInd/>
        <w:spacing w:before="313" w:beforeLines="100" w:after="313" w:afterLines="100"/>
        <w:ind w:firstLine="0" w:firstLineChars="0"/>
        <w:outlineLvl w:val="1"/>
        <w:rPr>
          <w:rFonts w:hint="eastAsia" w:ascii="黑体" w:hAnsi="黑体" w:eastAsia="黑体"/>
          <w:kern w:val="0"/>
          <w:szCs w:val="20"/>
          <w:lang w:bidi="ar"/>
        </w:rPr>
      </w:pPr>
      <w:r>
        <w:rPr>
          <w:rFonts w:hint="eastAsia" w:ascii="黑体" w:hAnsi="黑体" w:eastAsia="黑体"/>
          <w:kern w:val="0"/>
          <w:lang w:val="en-US" w:eastAsia="zh-CN" w:bidi="ar"/>
        </w:rPr>
        <w:t>B</w:t>
      </w:r>
      <w:r>
        <w:rPr>
          <w:rFonts w:hint="eastAsia" w:ascii="黑体" w:hAnsi="黑体" w:eastAsia="黑体"/>
          <w:kern w:val="0"/>
          <w:lang w:bidi="ar"/>
        </w:rPr>
        <w:t>.</w:t>
      </w:r>
      <w:r>
        <w:rPr>
          <w:rFonts w:hint="eastAsia" w:ascii="黑体" w:hAnsi="黑体" w:eastAsia="黑体"/>
          <w:kern w:val="0"/>
          <w:lang w:val="en-US" w:eastAsia="zh-CN" w:bidi="ar"/>
        </w:rPr>
        <w:t>2</w:t>
      </w:r>
      <w:r>
        <w:rPr>
          <w:rFonts w:hint="eastAsia" w:ascii="黑体" w:hAnsi="黑体" w:eastAsia="黑体"/>
          <w:kern w:val="0"/>
          <w:lang w:eastAsia="zh-CN" w:bidi="ar"/>
        </w:rPr>
        <w:t>　</w:t>
      </w:r>
      <w:r>
        <w:rPr>
          <w:rFonts w:hint="eastAsia" w:ascii="黑体" w:hAnsi="黑体" w:eastAsia="黑体"/>
          <w:kern w:val="0"/>
          <w:lang w:val="en-US" w:eastAsia="zh-CN" w:bidi="ar"/>
        </w:rPr>
        <w:t>选取设定值</w:t>
      </w:r>
    </w:p>
    <w:p>
      <w:pPr>
        <w:widowControl/>
        <w:tabs>
          <w:tab w:val="center" w:pos="4201"/>
          <w:tab w:val="right" w:leader="dot" w:pos="9298"/>
        </w:tabs>
        <w:topLinePunct w:val="0"/>
        <w:autoSpaceDE w:val="0"/>
        <w:autoSpaceDN w:val="0"/>
        <w:adjustRightInd/>
        <w:ind w:firstLine="420" w:firstLineChars="200"/>
        <w:outlineLvl w:val="1"/>
        <w:rPr>
          <w:rFonts w:hint="eastAsia"/>
          <w:szCs w:val="21"/>
          <w:lang w:bidi="ar"/>
        </w:rPr>
      </w:pPr>
      <w:r>
        <w:rPr>
          <w:rFonts w:hint="eastAsia"/>
          <w:szCs w:val="21"/>
          <w:lang w:bidi="ar"/>
        </w:rPr>
        <w:t>新能源利用率设定值选取地方政府发布的新能源利用率目标值。</w:t>
      </w:r>
    </w:p>
    <w:p>
      <w:pPr>
        <w:widowControl/>
        <w:tabs>
          <w:tab w:val="center" w:pos="4201"/>
          <w:tab w:val="right" w:leader="dot" w:pos="9298"/>
        </w:tabs>
        <w:topLinePunct w:val="0"/>
        <w:autoSpaceDE/>
        <w:autoSpaceDN/>
        <w:adjustRightInd/>
        <w:spacing w:before="313" w:beforeLines="100" w:after="313" w:afterLines="100"/>
        <w:ind w:firstLine="0" w:firstLineChars="0"/>
        <w:outlineLvl w:val="1"/>
        <w:rPr>
          <w:rFonts w:hint="eastAsia" w:ascii="黑体" w:hAnsi="黑体" w:eastAsia="黑体" w:cs="Times New Roman"/>
          <w:kern w:val="0"/>
          <w:szCs w:val="20"/>
          <w:lang w:bidi="ar"/>
        </w:rPr>
      </w:pPr>
      <w:r>
        <w:rPr>
          <w:rFonts w:hint="eastAsia" w:ascii="黑体" w:hAnsi="黑体" w:eastAsia="黑体" w:cs="Times New Roman"/>
          <w:kern w:val="0"/>
          <w:lang w:val="en-US" w:eastAsia="zh-CN" w:bidi="ar"/>
        </w:rPr>
        <w:t>B</w:t>
      </w:r>
      <w:r>
        <w:rPr>
          <w:rFonts w:hint="eastAsia" w:ascii="黑体" w:hAnsi="黑体" w:eastAsia="黑体" w:cs="Times New Roman"/>
          <w:kern w:val="0"/>
          <w:lang w:bidi="ar"/>
        </w:rPr>
        <w:t>.</w:t>
      </w:r>
      <w:r>
        <w:rPr>
          <w:rFonts w:hint="eastAsia" w:ascii="黑体" w:hAnsi="黑体" w:eastAsia="黑体" w:cs="Times New Roman"/>
          <w:kern w:val="0"/>
          <w:lang w:val="en-US" w:eastAsia="zh-CN" w:bidi="ar"/>
        </w:rPr>
        <w:t>3</w:t>
      </w:r>
      <w:r>
        <w:rPr>
          <w:rFonts w:hint="eastAsia" w:ascii="黑体" w:hAnsi="黑体" w:eastAsia="黑体" w:cs="Times New Roman"/>
          <w:kern w:val="0"/>
          <w:lang w:eastAsia="zh-CN" w:bidi="ar"/>
        </w:rPr>
        <w:t>　</w:t>
      </w:r>
      <w:r>
        <w:rPr>
          <w:rFonts w:hint="eastAsia" w:ascii="黑体" w:hAnsi="黑体" w:eastAsia="黑体" w:cs="Times New Roman"/>
          <w:kern w:val="0"/>
          <w:lang w:val="en-US" w:eastAsia="zh-CN" w:bidi="ar"/>
        </w:rPr>
        <w:t>计算基础值</w:t>
      </w:r>
    </w:p>
    <w:p>
      <w:pPr>
        <w:widowControl/>
        <w:tabs>
          <w:tab w:val="center" w:pos="4201"/>
          <w:tab w:val="right" w:leader="dot" w:pos="9298"/>
        </w:tabs>
        <w:topLinePunct w:val="0"/>
        <w:autoSpaceDE w:val="0"/>
        <w:autoSpaceDN w:val="0"/>
        <w:adjustRightInd/>
        <w:ind w:firstLine="420" w:firstLineChars="200"/>
        <w:outlineLvl w:val="1"/>
        <w:rPr>
          <w:rFonts w:hint="eastAsia" w:ascii="Times New Roman" w:hAnsi="Times New Roman" w:eastAsia="宋体" w:cs="Times New Roman"/>
          <w:szCs w:val="21"/>
          <w:lang w:bidi="ar"/>
        </w:rPr>
      </w:pPr>
      <w:r>
        <w:rPr>
          <w:rFonts w:hint="eastAsia" w:ascii="Times New Roman" w:hAnsi="Times New Roman" w:eastAsia="宋体" w:cs="Times New Roman"/>
          <w:szCs w:val="21"/>
          <w:lang w:bidi="ar"/>
        </w:rPr>
        <w:t>以评估区域已并网分布式电源装机容量作为基础场景，依托时序生产模拟仿真工具，</w:t>
      </w:r>
      <w:r>
        <w:rPr>
          <w:rFonts w:hint="eastAsia" w:ascii="Times New Roman" w:hAnsi="Times New Roman" w:eastAsia="宋体" w:cs="Times New Roman"/>
          <w:szCs w:val="21"/>
          <w:lang w:val="en-US" w:eastAsia="zh-CN" w:bidi="ar"/>
        </w:rPr>
        <w:t>计算</w:t>
      </w:r>
      <w:r>
        <w:rPr>
          <w:rFonts w:hint="eastAsia" w:ascii="Times New Roman" w:hAnsi="Times New Roman" w:eastAsia="宋体" w:cs="Times New Roman"/>
          <w:szCs w:val="21"/>
          <w:lang w:bidi="ar"/>
        </w:rPr>
        <w:t>得到评估周期内新能源利用率基础值。</w:t>
      </w:r>
    </w:p>
    <w:p>
      <w:pPr>
        <w:widowControl/>
        <w:tabs>
          <w:tab w:val="center" w:pos="4201"/>
          <w:tab w:val="right" w:leader="dot" w:pos="9298"/>
        </w:tabs>
        <w:topLinePunct w:val="0"/>
        <w:autoSpaceDE/>
        <w:autoSpaceDN/>
        <w:adjustRightInd/>
        <w:spacing w:before="313" w:beforeLines="100" w:after="313" w:afterLines="100"/>
        <w:ind w:firstLine="0" w:firstLineChars="0"/>
        <w:outlineLvl w:val="1"/>
        <w:rPr>
          <w:rFonts w:hint="eastAsia" w:ascii="黑体" w:hAnsi="黑体" w:eastAsia="黑体" w:cs="Times New Roman"/>
          <w:kern w:val="0"/>
          <w:szCs w:val="20"/>
          <w:lang w:bidi="ar"/>
        </w:rPr>
      </w:pPr>
      <w:r>
        <w:rPr>
          <w:rFonts w:hint="eastAsia" w:ascii="黑体" w:hAnsi="黑体" w:eastAsia="黑体" w:cs="Times New Roman"/>
          <w:kern w:val="0"/>
          <w:lang w:val="en-US" w:eastAsia="zh-CN" w:bidi="ar"/>
        </w:rPr>
        <w:t>B</w:t>
      </w:r>
      <w:r>
        <w:rPr>
          <w:rFonts w:hint="eastAsia" w:ascii="黑体" w:hAnsi="黑体" w:eastAsia="黑体" w:cs="Times New Roman"/>
          <w:kern w:val="0"/>
          <w:lang w:bidi="ar"/>
        </w:rPr>
        <w:t>.</w:t>
      </w:r>
      <w:r>
        <w:rPr>
          <w:rFonts w:hint="eastAsia" w:ascii="黑体" w:hAnsi="黑体" w:eastAsia="黑体" w:cs="Times New Roman"/>
          <w:kern w:val="0"/>
          <w:lang w:val="en-US" w:eastAsia="zh-CN" w:bidi="ar"/>
        </w:rPr>
        <w:t>4</w:t>
      </w:r>
      <w:r>
        <w:rPr>
          <w:rFonts w:hint="eastAsia" w:ascii="黑体" w:hAnsi="黑体" w:eastAsia="黑体" w:cs="Times New Roman"/>
          <w:kern w:val="0"/>
          <w:lang w:eastAsia="zh-CN" w:bidi="ar"/>
        </w:rPr>
        <w:t>　</w:t>
      </w:r>
      <w:r>
        <w:rPr>
          <w:rFonts w:hint="eastAsia" w:ascii="黑体" w:hAnsi="黑体" w:eastAsia="黑体" w:cs="Times New Roman"/>
          <w:kern w:val="0"/>
          <w:lang w:val="en-US" w:eastAsia="zh-CN" w:bidi="ar"/>
        </w:rPr>
        <w:t>迭代计算</w:t>
      </w:r>
    </w:p>
    <w:p>
      <w:pPr>
        <w:widowControl/>
        <w:tabs>
          <w:tab w:val="center" w:pos="4201"/>
          <w:tab w:val="right" w:leader="dot" w:pos="9298"/>
        </w:tabs>
        <w:topLinePunct w:val="0"/>
        <w:autoSpaceDE w:val="0"/>
        <w:autoSpaceDN w:val="0"/>
        <w:adjustRightInd/>
        <w:ind w:firstLine="420" w:firstLineChars="200"/>
        <w:outlineLvl w:val="1"/>
        <w:rPr>
          <w:rFonts w:hint="eastAsia" w:ascii="Times New Roman" w:hAnsi="Times New Roman" w:eastAsia="宋体" w:cs="Times New Roman"/>
          <w:szCs w:val="21"/>
          <w:lang w:bidi="ar"/>
        </w:rPr>
      </w:pPr>
      <w:r>
        <w:rPr>
          <w:rFonts w:hint="eastAsia" w:ascii="Times New Roman" w:hAnsi="Times New Roman" w:eastAsia="宋体" w:cs="Times New Roman"/>
          <w:szCs w:val="21"/>
          <w:lang w:bidi="ar"/>
        </w:rPr>
        <w:t>将测算得到的新能源利用率基础值与该评估区域新能源利用率设定值进行对比，</w:t>
      </w:r>
      <w:r>
        <w:rPr>
          <w:rFonts w:hint="eastAsia" w:ascii="Times New Roman" w:hAnsi="Times New Roman" w:eastAsia="宋体" w:cs="Times New Roman"/>
          <w:szCs w:val="21"/>
          <w:lang w:val="en-US" w:eastAsia="zh-CN" w:bidi="ar"/>
        </w:rPr>
        <w:t>通过</w:t>
      </w:r>
      <w:r>
        <w:rPr>
          <w:rFonts w:hint="eastAsia" w:ascii="Times New Roman" w:hAnsi="Times New Roman" w:eastAsia="宋体" w:cs="Times New Roman"/>
          <w:szCs w:val="21"/>
          <w:lang w:bidi="ar"/>
        </w:rPr>
        <w:t>增加分布式电源装机容量，迭代进行时序生产模拟</w:t>
      </w:r>
      <w:r>
        <w:rPr>
          <w:rFonts w:hint="eastAsia" w:ascii="Times New Roman" w:hAnsi="Times New Roman" w:eastAsia="宋体" w:cs="Times New Roman"/>
          <w:szCs w:val="21"/>
          <w:lang w:val="en-US" w:eastAsia="zh-CN" w:bidi="ar"/>
        </w:rPr>
        <w:t>仿真</w:t>
      </w:r>
      <w:r>
        <w:rPr>
          <w:rFonts w:hint="eastAsia" w:ascii="Times New Roman" w:hAnsi="Times New Roman" w:eastAsia="宋体" w:cs="Times New Roman"/>
          <w:szCs w:val="21"/>
          <w:lang w:bidi="ar"/>
        </w:rPr>
        <w:t>，直至新能源利用率与设定值相等，则该评估区域系统级承载力为当前新能源利用率设定值下</w:t>
      </w:r>
      <w:r>
        <w:rPr>
          <w:rFonts w:hint="eastAsia" w:cs="Times New Roman"/>
          <w:szCs w:val="21"/>
          <w:lang w:eastAsia="zh-CN" w:bidi="ar"/>
        </w:rPr>
        <w:t>的</w:t>
      </w:r>
      <w:r>
        <w:rPr>
          <w:rFonts w:hint="eastAsia" w:ascii="Times New Roman" w:hAnsi="Times New Roman" w:eastAsia="宋体" w:cs="Times New Roman"/>
          <w:szCs w:val="21"/>
          <w:lang w:bidi="ar"/>
        </w:rPr>
        <w:t>分布式电源装机容量。</w:t>
      </w:r>
    </w:p>
    <w:p>
      <w:pPr>
        <w:widowControl/>
        <w:tabs>
          <w:tab w:val="center" w:pos="4201"/>
          <w:tab w:val="right" w:leader="dot" w:pos="9298"/>
        </w:tabs>
        <w:topLinePunct w:val="0"/>
        <w:autoSpaceDE/>
        <w:autoSpaceDN/>
        <w:adjustRightInd/>
        <w:spacing w:before="313" w:beforeLines="100" w:after="313" w:afterLines="100"/>
        <w:ind w:firstLine="0" w:firstLineChars="0"/>
        <w:outlineLvl w:val="1"/>
        <w:rPr>
          <w:rFonts w:hint="eastAsia" w:ascii="黑体" w:hAnsi="黑体" w:eastAsia="黑体" w:cs="Times New Roman"/>
          <w:kern w:val="0"/>
          <w:szCs w:val="20"/>
          <w:lang w:bidi="ar"/>
        </w:rPr>
      </w:pPr>
      <w:r>
        <w:rPr>
          <w:rFonts w:hint="eastAsia" w:ascii="黑体" w:hAnsi="黑体" w:eastAsia="黑体" w:cs="Times New Roman"/>
          <w:kern w:val="0"/>
          <w:lang w:val="en-US" w:eastAsia="zh-CN" w:bidi="ar"/>
        </w:rPr>
        <w:t>B</w:t>
      </w:r>
      <w:r>
        <w:rPr>
          <w:rFonts w:hint="eastAsia" w:ascii="黑体" w:hAnsi="黑体" w:eastAsia="黑体" w:cs="Times New Roman"/>
          <w:kern w:val="0"/>
          <w:lang w:bidi="ar"/>
        </w:rPr>
        <w:t>.</w:t>
      </w:r>
      <w:r>
        <w:rPr>
          <w:rFonts w:hint="eastAsia" w:ascii="黑体" w:hAnsi="黑体" w:eastAsia="黑体" w:cs="Times New Roman"/>
          <w:kern w:val="0"/>
          <w:lang w:val="en-US" w:eastAsia="zh-CN" w:bidi="ar"/>
        </w:rPr>
        <w:t>5</w:t>
      </w:r>
      <w:r>
        <w:rPr>
          <w:rFonts w:hint="eastAsia" w:ascii="黑体" w:hAnsi="黑体" w:eastAsia="黑体" w:cs="Times New Roman"/>
          <w:kern w:val="0"/>
          <w:lang w:eastAsia="zh-CN" w:bidi="ar"/>
        </w:rPr>
        <w:t>　</w:t>
      </w:r>
      <w:r>
        <w:rPr>
          <w:rFonts w:hint="eastAsia" w:ascii="黑体" w:hAnsi="黑体" w:eastAsia="黑体" w:cs="Times New Roman"/>
          <w:kern w:val="0"/>
          <w:lang w:val="en-US" w:eastAsia="zh-CN" w:bidi="ar"/>
        </w:rPr>
        <w:t>确定变量区间</w:t>
      </w:r>
    </w:p>
    <w:p>
      <w:pPr>
        <w:widowControl/>
        <w:tabs>
          <w:tab w:val="center" w:pos="4201"/>
          <w:tab w:val="right" w:leader="dot" w:pos="9298"/>
        </w:tabs>
        <w:topLinePunct w:val="0"/>
        <w:autoSpaceDE w:val="0"/>
        <w:autoSpaceDN w:val="0"/>
        <w:adjustRightInd/>
        <w:ind w:firstLine="420" w:firstLineChars="200"/>
        <w:outlineLvl w:val="1"/>
        <w:rPr>
          <w:rFonts w:hint="eastAsia" w:ascii="Times New Roman" w:hAnsi="Times New Roman" w:eastAsia="宋体" w:cs="Times New Roman"/>
          <w:szCs w:val="21"/>
          <w:lang w:bidi="ar"/>
        </w:rPr>
      </w:pPr>
      <w:r>
        <w:rPr>
          <w:rFonts w:hint="eastAsia" w:ascii="Times New Roman" w:hAnsi="Times New Roman" w:eastAsia="宋体" w:cs="Times New Roman"/>
          <w:szCs w:val="21"/>
          <w:lang w:bidi="ar"/>
        </w:rPr>
        <w:t>系统级承载力测算的变量为新能源利用率和新型储能装机容量。新能源利用率在新能源利用率设定值基础上，</w:t>
      </w:r>
      <w:r>
        <w:rPr>
          <w:rFonts w:hint="eastAsia" w:eastAsia="宋体"/>
          <w:lang w:val="en-US" w:eastAsia="zh-CN"/>
        </w:rPr>
        <w:t>下调1~2个百分点</w:t>
      </w:r>
      <w:r>
        <w:rPr>
          <w:rFonts w:hint="eastAsia" w:ascii="Times New Roman" w:hAnsi="Times New Roman" w:eastAsia="宋体" w:cs="Times New Roman"/>
          <w:szCs w:val="21"/>
          <w:lang w:bidi="ar"/>
        </w:rPr>
        <w:t>；</w:t>
      </w:r>
      <w:r>
        <w:rPr>
          <w:rFonts w:hint="eastAsia" w:ascii="Times New Roman" w:hAnsi="Times New Roman" w:eastAsia="宋体" w:cs="Times New Roman"/>
          <w:szCs w:val="21"/>
          <w:lang w:val="en-US" w:eastAsia="zh-CN" w:bidi="ar"/>
        </w:rPr>
        <w:t>新增</w:t>
      </w:r>
      <w:r>
        <w:rPr>
          <w:rFonts w:hint="eastAsia" w:ascii="Times New Roman" w:hAnsi="Times New Roman" w:eastAsia="宋体" w:cs="Times New Roman"/>
          <w:szCs w:val="21"/>
          <w:lang w:bidi="ar"/>
        </w:rPr>
        <w:t>新型储能装机容量在评估周期内评估区域</w:t>
      </w:r>
      <w:r>
        <w:rPr>
          <w:rFonts w:hint="eastAsia" w:ascii="Times New Roman" w:hAnsi="Times New Roman" w:eastAsia="宋体" w:cs="Times New Roman"/>
          <w:szCs w:val="21"/>
          <w:lang w:eastAsia="zh-CN" w:bidi="ar"/>
        </w:rPr>
        <w:t>的</w:t>
      </w:r>
      <w:r>
        <w:rPr>
          <w:rFonts w:hint="eastAsia" w:ascii="Times New Roman" w:hAnsi="Times New Roman" w:eastAsia="宋体" w:cs="Times New Roman"/>
          <w:szCs w:val="21"/>
          <w:lang w:bidi="ar"/>
        </w:rPr>
        <w:t>新型储能装机容量基础上，</w:t>
      </w:r>
      <w:r>
        <w:rPr>
          <w:rFonts w:hint="eastAsia" w:ascii="Times New Roman" w:hAnsi="Times New Roman" w:eastAsia="宋体" w:cs="Times New Roman"/>
          <w:szCs w:val="21"/>
          <w:lang w:val="en-US" w:eastAsia="zh-CN" w:bidi="ar"/>
        </w:rPr>
        <w:t>按照新能源装机容量</w:t>
      </w:r>
      <w:r>
        <w:rPr>
          <w:rFonts w:hint="eastAsia" w:ascii="Times New Roman" w:hAnsi="Times New Roman" w:eastAsia="宋体" w:cs="Times New Roman"/>
          <w:szCs w:val="21"/>
          <w:lang w:eastAsia="zh-CN" w:bidi="ar"/>
        </w:rPr>
        <w:t>的</w:t>
      </w:r>
      <w:r>
        <w:rPr>
          <w:rFonts w:hint="eastAsia" w:ascii="Times New Roman" w:hAnsi="Times New Roman" w:eastAsia="宋体" w:cs="Times New Roman"/>
          <w:szCs w:val="21"/>
          <w:lang w:val="en-US" w:eastAsia="zh-CN" w:bidi="ar"/>
        </w:rPr>
        <w:t>5</w:t>
      </w:r>
      <w:r>
        <w:rPr>
          <w:rFonts w:hint="eastAsia" w:ascii="Times New Roman" w:hAnsi="Times New Roman" w:eastAsia="宋体" w:cs="Times New Roman"/>
          <w:szCs w:val="21"/>
          <w:lang w:bidi="ar"/>
        </w:rPr>
        <w:t>%</w:t>
      </w:r>
      <w:r>
        <w:rPr>
          <w:rFonts w:hint="eastAsia" w:ascii="Times New Roman" w:hAnsi="Times New Roman" w:eastAsia="宋体" w:cs="Times New Roman"/>
          <w:szCs w:val="21"/>
          <w:lang w:val="en-US" w:eastAsia="zh-CN" w:bidi="ar"/>
        </w:rPr>
        <w:t>~10</w:t>
      </w:r>
      <w:r>
        <w:rPr>
          <w:rFonts w:hint="eastAsia" w:ascii="Times New Roman" w:hAnsi="Times New Roman" w:eastAsia="宋体" w:cs="Times New Roman"/>
          <w:szCs w:val="21"/>
          <w:lang w:bidi="ar"/>
        </w:rPr>
        <w:t>%确定。</w:t>
      </w:r>
    </w:p>
    <w:p>
      <w:pPr>
        <w:widowControl/>
        <w:tabs>
          <w:tab w:val="center" w:pos="4201"/>
          <w:tab w:val="right" w:leader="dot" w:pos="9298"/>
        </w:tabs>
        <w:topLinePunct w:val="0"/>
        <w:autoSpaceDE/>
        <w:autoSpaceDN/>
        <w:adjustRightInd/>
        <w:spacing w:before="313" w:beforeLines="100" w:after="313" w:afterLines="100"/>
        <w:ind w:firstLine="0" w:firstLineChars="0"/>
        <w:outlineLvl w:val="1"/>
        <w:rPr>
          <w:rFonts w:hint="eastAsia" w:ascii="黑体" w:hAnsi="黑体" w:eastAsia="黑体" w:cs="Times New Roman"/>
          <w:kern w:val="0"/>
          <w:szCs w:val="20"/>
          <w:lang w:bidi="ar"/>
        </w:rPr>
      </w:pPr>
      <w:r>
        <w:rPr>
          <w:rFonts w:hint="eastAsia" w:ascii="黑体" w:hAnsi="黑体" w:eastAsia="黑体" w:cs="Times New Roman"/>
          <w:kern w:val="0"/>
          <w:lang w:val="en-US" w:eastAsia="zh-CN" w:bidi="ar"/>
        </w:rPr>
        <w:t>B</w:t>
      </w:r>
      <w:r>
        <w:rPr>
          <w:rFonts w:hint="eastAsia" w:ascii="黑体" w:hAnsi="黑体" w:eastAsia="黑体" w:cs="Times New Roman"/>
          <w:kern w:val="0"/>
          <w:lang w:bidi="ar"/>
        </w:rPr>
        <w:t>.</w:t>
      </w:r>
      <w:r>
        <w:rPr>
          <w:rFonts w:hint="eastAsia" w:ascii="黑体" w:hAnsi="黑体" w:eastAsia="黑体" w:cs="Times New Roman"/>
          <w:kern w:val="0"/>
          <w:lang w:val="en-US" w:eastAsia="zh-CN" w:bidi="ar"/>
        </w:rPr>
        <w:t>6</w:t>
      </w:r>
      <w:r>
        <w:rPr>
          <w:rFonts w:hint="eastAsia" w:ascii="黑体" w:hAnsi="黑体" w:eastAsia="黑体" w:cs="Times New Roman"/>
          <w:kern w:val="0"/>
          <w:lang w:eastAsia="zh-CN" w:bidi="ar"/>
        </w:rPr>
        <w:t>　</w:t>
      </w:r>
      <w:r>
        <w:rPr>
          <w:rFonts w:hint="eastAsia" w:ascii="黑体" w:hAnsi="黑体" w:eastAsia="黑体" w:cs="Times New Roman"/>
          <w:kern w:val="0"/>
          <w:lang w:val="en-US" w:eastAsia="zh-CN" w:bidi="ar"/>
        </w:rPr>
        <w:t>输出结果</w:t>
      </w:r>
    </w:p>
    <w:p>
      <w:pPr>
        <w:widowControl/>
        <w:topLinePunct w:val="0"/>
        <w:adjustRightInd/>
        <w:ind w:firstLine="420" w:firstLineChars="200"/>
        <w:jc w:val="left"/>
        <w:rPr>
          <w:rFonts w:ascii="Calibri" w:hAnsi="Calibri"/>
          <w:kern w:val="0"/>
          <w:sz w:val="20"/>
        </w:rPr>
      </w:pPr>
      <w:r>
        <w:rPr>
          <w:rFonts w:hint="eastAsia" w:ascii="Times New Roman" w:hAnsi="Times New Roman" w:eastAsia="宋体" w:cs="Times New Roman"/>
          <w:szCs w:val="21"/>
          <w:lang w:val="en-US" w:eastAsia="zh-CN" w:bidi="ar"/>
        </w:rPr>
        <w:t>按照</w:t>
      </w:r>
      <w:r>
        <w:rPr>
          <w:rFonts w:hint="eastAsia" w:ascii="Times New Roman" w:hAnsi="Times New Roman" w:eastAsia="宋体" w:cs="Times New Roman"/>
          <w:szCs w:val="21"/>
          <w:lang w:bidi="ar"/>
        </w:rPr>
        <w:t>不同新能源利用率和新型</w:t>
      </w:r>
      <w:r>
        <w:rPr>
          <w:rFonts w:hint="eastAsia" w:cs="Times New Roman"/>
          <w:szCs w:val="21"/>
          <w:lang w:eastAsia="zh-CN" w:bidi="ar"/>
        </w:rPr>
        <w:t>电力</w:t>
      </w:r>
      <w:r>
        <w:rPr>
          <w:rFonts w:hint="eastAsia" w:ascii="Times New Roman" w:hAnsi="Times New Roman" w:eastAsia="宋体" w:cs="Times New Roman"/>
          <w:szCs w:val="21"/>
          <w:lang w:bidi="ar"/>
        </w:rPr>
        <w:t>储能装机容量</w:t>
      </w:r>
      <w:r>
        <w:rPr>
          <w:rFonts w:hint="eastAsia" w:ascii="Times New Roman" w:hAnsi="Times New Roman" w:eastAsia="宋体" w:cs="Times New Roman"/>
          <w:szCs w:val="21"/>
          <w:lang w:val="en-US" w:eastAsia="zh-CN" w:bidi="ar"/>
        </w:rPr>
        <w:t>变量</w:t>
      </w:r>
      <w:r>
        <w:rPr>
          <w:rFonts w:hint="eastAsia" w:ascii="Times New Roman" w:hAnsi="Times New Roman" w:eastAsia="宋体" w:cs="Times New Roman"/>
          <w:szCs w:val="21"/>
          <w:lang w:bidi="ar"/>
        </w:rPr>
        <w:t>，重复</w:t>
      </w:r>
      <w:r>
        <w:rPr>
          <w:rFonts w:hint="eastAsia" w:cs="Times New Roman"/>
          <w:szCs w:val="21"/>
          <w:lang w:val="en-US" w:eastAsia="zh-CN" w:bidi="ar"/>
        </w:rPr>
        <w:t>B.5</w:t>
      </w:r>
      <w:r>
        <w:rPr>
          <w:rFonts w:hint="eastAsia" w:ascii="Times New Roman" w:hAnsi="Times New Roman" w:eastAsia="宋体" w:cs="Times New Roman"/>
          <w:szCs w:val="21"/>
          <w:lang w:bidi="ar"/>
        </w:rPr>
        <w:t>，确定评估区域系统级承载力区间。开展年度评估时，选取当年新能源利用率设定值，以新型</w:t>
      </w:r>
      <w:r>
        <w:rPr>
          <w:rFonts w:hint="eastAsia" w:cs="Times New Roman"/>
          <w:szCs w:val="21"/>
          <w:lang w:eastAsia="zh-CN" w:bidi="ar"/>
        </w:rPr>
        <w:t>电力</w:t>
      </w:r>
      <w:r>
        <w:rPr>
          <w:rFonts w:hint="eastAsia" w:ascii="Times New Roman" w:hAnsi="Times New Roman" w:eastAsia="宋体" w:cs="Times New Roman"/>
          <w:szCs w:val="21"/>
          <w:lang w:bidi="ar"/>
        </w:rPr>
        <w:t>储能装机容量为变量计算系统级承载力区间，系统级承载力区间上限值为当年新能源利用率设定值下新型</w:t>
      </w:r>
      <w:r>
        <w:rPr>
          <w:rFonts w:hint="eastAsia" w:cs="Times New Roman"/>
          <w:szCs w:val="21"/>
          <w:lang w:eastAsia="zh-CN" w:bidi="ar"/>
        </w:rPr>
        <w:t>电力</w:t>
      </w:r>
      <w:r>
        <w:rPr>
          <w:rFonts w:hint="eastAsia" w:ascii="Times New Roman" w:hAnsi="Times New Roman" w:eastAsia="宋体" w:cs="Times New Roman"/>
          <w:szCs w:val="21"/>
          <w:lang w:bidi="ar"/>
        </w:rPr>
        <w:t>储能装机容量最高时承载力计算结果，下限值为当年新能源利用率设定值下新型</w:t>
      </w:r>
      <w:r>
        <w:rPr>
          <w:rFonts w:hint="eastAsia" w:cs="Times New Roman"/>
          <w:szCs w:val="21"/>
          <w:lang w:eastAsia="zh-CN" w:bidi="ar"/>
        </w:rPr>
        <w:t>电力</w:t>
      </w:r>
      <w:r>
        <w:rPr>
          <w:rFonts w:hint="eastAsia" w:ascii="Times New Roman" w:hAnsi="Times New Roman" w:eastAsia="宋体" w:cs="Times New Roman"/>
          <w:szCs w:val="21"/>
          <w:lang w:bidi="ar"/>
        </w:rPr>
        <w:t>储能装机容量最低时承载力计算结果。开展</w:t>
      </w:r>
      <w:r>
        <w:rPr>
          <w:rFonts w:hint="eastAsia" w:cs="Times New Roman"/>
          <w:lang w:eastAsia="zh-CN"/>
        </w:rPr>
        <w:t>电力系统设计</w:t>
      </w:r>
      <w:r>
        <w:rPr>
          <w:rFonts w:hint="eastAsia" w:ascii="宋体" w:hAnsi="Times New Roman" w:eastAsia="宋体" w:cs="Times New Roman"/>
        </w:rPr>
        <w:t>周期</w:t>
      </w:r>
      <w:r>
        <w:rPr>
          <w:rFonts w:hint="eastAsia" w:ascii="Times New Roman" w:hAnsi="Times New Roman" w:eastAsia="宋体" w:cs="Times New Roman"/>
          <w:szCs w:val="21"/>
          <w:lang w:bidi="ar"/>
        </w:rPr>
        <w:t>评估时，以新能源利用率、新型</w:t>
      </w:r>
      <w:r>
        <w:rPr>
          <w:rFonts w:hint="eastAsia" w:cs="Times New Roman"/>
          <w:szCs w:val="21"/>
          <w:lang w:eastAsia="zh-CN" w:bidi="ar"/>
        </w:rPr>
        <w:t>电力</w:t>
      </w:r>
      <w:r>
        <w:rPr>
          <w:rFonts w:hint="eastAsia" w:ascii="Times New Roman" w:hAnsi="Times New Roman" w:eastAsia="宋体" w:cs="Times New Roman"/>
          <w:szCs w:val="21"/>
          <w:lang w:bidi="ar"/>
        </w:rPr>
        <w:t>储能装机容量为变量计算系统级承载力区间，系统级承载力区间上限值为新能源利用率设定值最小且新型</w:t>
      </w:r>
      <w:r>
        <w:rPr>
          <w:rFonts w:hint="eastAsia" w:cs="Times New Roman"/>
          <w:szCs w:val="21"/>
          <w:lang w:eastAsia="zh-CN" w:bidi="ar"/>
        </w:rPr>
        <w:t>电力</w:t>
      </w:r>
      <w:r>
        <w:rPr>
          <w:rFonts w:hint="eastAsia" w:ascii="Times New Roman" w:hAnsi="Times New Roman" w:eastAsia="宋体" w:cs="Times New Roman"/>
          <w:szCs w:val="21"/>
          <w:lang w:bidi="ar"/>
        </w:rPr>
        <w:t>储能装机容量最高时承载力计算结果，下限值为新能源利用率设定值最大且新型</w:t>
      </w:r>
      <w:r>
        <w:rPr>
          <w:rFonts w:hint="eastAsia" w:cs="Times New Roman"/>
          <w:szCs w:val="21"/>
          <w:lang w:eastAsia="zh-CN" w:bidi="ar"/>
        </w:rPr>
        <w:t>电力</w:t>
      </w:r>
      <w:r>
        <w:rPr>
          <w:rFonts w:hint="eastAsia" w:ascii="Times New Roman" w:hAnsi="Times New Roman" w:eastAsia="宋体" w:cs="Times New Roman"/>
          <w:szCs w:val="21"/>
          <w:lang w:bidi="ar"/>
        </w:rPr>
        <w:t>储能装机容量最低时承载力计算结果。</w:t>
      </w:r>
    </w:p>
    <w:p>
      <w:pPr>
        <w:widowControl/>
        <w:tabs>
          <w:tab w:val="center" w:pos="4201"/>
          <w:tab w:val="right" w:leader="dot" w:pos="9298"/>
        </w:tabs>
        <w:topLinePunct w:val="0"/>
        <w:autoSpaceDE w:val="0"/>
        <w:autoSpaceDN w:val="0"/>
        <w:adjustRightInd/>
        <w:jc w:val="center"/>
        <w:rPr>
          <w:rFonts w:ascii="宋体" w:hAnsi="宋体"/>
          <w:kern w:val="0"/>
        </w:rPr>
      </w:pPr>
    </w:p>
    <w:p>
      <w:pPr>
        <w:jc w:val="center"/>
        <w:rPr>
          <w:rFonts w:hint="eastAsia" w:ascii="宋体" w:hAnsi="宋体"/>
        </w:rPr>
      </w:pPr>
    </w:p>
    <w:p>
      <w:pPr>
        <w:jc w:val="center"/>
        <w:rPr>
          <w:rFonts w:hint="eastAsia" w:ascii="宋体" w:hAnsi="宋体"/>
        </w:rPr>
      </w:pPr>
    </w:p>
    <w:sectPr>
      <w:footerReference r:id="rId13" w:type="default"/>
      <w:pgSz w:w="11906" w:h="16838"/>
      <w:pgMar w:top="567" w:right="1134" w:bottom="1134" w:left="1418" w:header="1361" w:footer="1134" w:gutter="0"/>
      <w:pgNumType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modern"/>
    <w:pitch w:val="default"/>
    <w:sig w:usb0="E0002EFF" w:usb1="C000785B" w:usb2="00000009" w:usb3="00000000" w:csb0="400001FF" w:csb1="FFFF0000"/>
  </w:font>
  <w:font w:name="宋体">
    <w:panose1 w:val="02010600030101010101"/>
    <w:charset w:val="80"/>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DejaVu Sans">
    <w:panose1 w:val="020B0603030804020204"/>
    <w:charset w:val="00"/>
    <w:family w:val="auto"/>
    <w:pitch w:val="default"/>
    <w:sig w:usb0="E7006EFF" w:usb1="D200FDFF" w:usb2="0A246029" w:usb3="0400200C" w:csb0="600001FF" w:csb1="DFFF0000"/>
  </w:font>
  <w:font w:name="EU-F1">
    <w:altName w:val="微软雅黑"/>
    <w:panose1 w:val="00000000000000000000"/>
    <w:charset w:val="86"/>
    <w:family w:val="script"/>
    <w:pitch w:val="default"/>
    <w:sig w:usb0="00000000" w:usb1="00000000" w:usb2="00000010" w:usb3="00000000" w:csb0="00040000" w:csb1="00000000"/>
  </w:font>
  <w:font w:name="微软雅黑">
    <w:panose1 w:val="020B0503020204020204"/>
    <w:charset w:val="86"/>
    <w:family w:val="auto"/>
    <w:pitch w:val="default"/>
    <w:sig w:usb0="80000287" w:usb1="280F3C52" w:usb2="00000016" w:usb3="00000000" w:csb0="0004001F" w:csb1="00000000"/>
  </w:font>
  <w:font w:name="Microsoft YaHei UI">
    <w:altName w:val="微软雅黑"/>
    <w:panose1 w:val="020B0503020204020204"/>
    <w:charset w:val="86"/>
    <w:family w:val="swiss"/>
    <w:pitch w:val="default"/>
    <w:sig w:usb0="00000000" w:usb1="00000000" w:usb2="00000016" w:usb3="00000000" w:csb0="0004001F" w:csb1="00000000"/>
  </w:font>
  <w:font w:name="E-F1">
    <w:altName w:val="宋体"/>
    <w:panose1 w:val="00000000000000000000"/>
    <w:charset w:val="81"/>
    <w:family w:val="roman"/>
    <w:pitch w:val="default"/>
    <w:sig w:usb0="00000000" w:usb1="00000000" w:usb2="00000000" w:usb3="00000000" w:csb0="00080000" w:csb1="00000000"/>
  </w:font>
  <w:font w:name="Tahoma">
    <w:altName w:val="DejaVu Sans"/>
    <w:panose1 w:val="020B0604030504040204"/>
    <w:charset w:val="00"/>
    <w:family w:val="swiss"/>
    <w:pitch w:val="default"/>
    <w:sig w:usb0="00000000" w:usb1="00000000" w:usb2="00000029" w:usb3="00000000" w:csb0="200101FF" w:csb1="20280000"/>
  </w:font>
  <w:font w:name="华文细黑">
    <w:panose1 w:val="02010600040101010101"/>
    <w:charset w:val="86"/>
    <w:family w:val="auto"/>
    <w:pitch w:val="default"/>
    <w:sig w:usb0="00000287" w:usb1="080F0000" w:usb2="00000000" w:usb3="00000000" w:csb0="0004009F" w:csb1="DFD70000"/>
  </w:font>
  <w:font w:name="细宋体">
    <w:altName w:val="黑体"/>
    <w:panose1 w:val="00000000000000000000"/>
    <w:charset w:val="86"/>
    <w:family w:val="modern"/>
    <w:pitch w:val="default"/>
    <w:sig w:usb0="00000000" w:usb1="00000000" w:usb2="00000010" w:usb3="00000000" w:csb0="00040000" w:csb1="00000000"/>
  </w:font>
  <w:font w:name="Verdana">
    <w:panose1 w:val="020B0604030504040204"/>
    <w:charset w:val="00"/>
    <w:family w:val="swiss"/>
    <w:pitch w:val="default"/>
    <w:sig w:usb0="A10006FF" w:usb1="4000205B" w:usb2="00000010" w:usb3="00000000" w:csb0="2000019F" w:csb1="00000000"/>
  </w:font>
  <w:font w:name="Cambria">
    <w:panose1 w:val="02040803050406030204"/>
    <w:charset w:val="00"/>
    <w:family w:val="roman"/>
    <w:pitch w:val="default"/>
    <w:sig w:usb0="E00002FF" w:usb1="4000045F" w:usb2="00000000" w:usb3="00000000" w:csb0="2000019F" w:csb1="00000000"/>
  </w:font>
  <w:font w:name="华文中宋">
    <w:panose1 w:val="02010600040101010101"/>
    <w:charset w:val="86"/>
    <w:family w:val="auto"/>
    <w:pitch w:val="default"/>
    <w:sig w:usb0="00000287" w:usb1="080F0000" w:usb2="00000000" w:usb3="00000000" w:csb0="0004009F" w:csb1="DFD70000"/>
  </w:font>
  <w:font w:name="Britannic Bold">
    <w:altName w:val="DejaVu Sans"/>
    <w:panose1 w:val="020B0903060703020204"/>
    <w:charset w:val="00"/>
    <w:family w:val="swiss"/>
    <w:pitch w:val="default"/>
    <w:sig w:usb0="00000000" w:usb1="00000000" w:usb2="00000000" w:usb3="00000000" w:csb0="20000001" w:csb1="00000000"/>
  </w:font>
  <w:font w:name="方正仿宋_GBK">
    <w:panose1 w:val="02000000000000000000"/>
    <w:charset w:val="86"/>
    <w:family w:val="script"/>
    <w:pitch w:val="default"/>
    <w:sig w:usb0="00000001" w:usb1="08000000" w:usb2="00000000" w:usb3="00000000" w:csb0="00040000" w:csb1="00000000"/>
  </w:font>
  <w:font w:name="方正黑体_GBK">
    <w:panose1 w:val="02000000000000000000"/>
    <w:charset w:val="86"/>
    <w:family w:val="script"/>
    <w:pitch w:val="default"/>
    <w:sig w:usb0="00000001" w:usb1="08000000" w:usb2="00000000" w:usb3="00000000" w:csb0="00040000" w:csb1="00000000"/>
  </w:font>
  <w:font w:name="楷体_GB2312">
    <w:panose1 w:val="02010609030101010101"/>
    <w:charset w:val="86"/>
    <w:family w:val="auto"/>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0"/>
      <w:framePr w:wrap="around" w:vAnchor="text" w:hAnchor="margin" w:xAlign="outside" w:y="1"/>
      <w:ind w:right="210"/>
      <w:rPr>
        <w:rStyle w:val="79"/>
      </w:rPr>
    </w:pPr>
    <w:r>
      <w:fldChar w:fldCharType="begin"/>
    </w:r>
    <w:r>
      <w:rPr>
        <w:rStyle w:val="79"/>
      </w:rPr>
      <w:instrText xml:space="preserve">PAGE  </w:instrText>
    </w:r>
    <w:r>
      <w:fldChar w:fldCharType="separate"/>
    </w:r>
    <w:r>
      <w:rPr>
        <w:rStyle w:val="79"/>
      </w:rPr>
      <w:t>III</w:t>
    </w:r>
    <w:r>
      <w:fldChar w:fldCharType="end"/>
    </w:r>
  </w:p>
  <w:p>
    <w:pPr>
      <w:pStyle w:val="368"/>
      <w:ind w:right="360" w:firstLine="360"/>
      <w:rPr>
        <w:rStyle w:val="79"/>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0"/>
      <w:framePr w:wrap="around" w:vAnchor="text" w:hAnchor="margin" w:xAlign="outside" w:y="1"/>
      <w:ind w:right="210"/>
      <w:rPr>
        <w:rStyle w:val="79"/>
      </w:rPr>
    </w:pPr>
    <w:r>
      <w:fldChar w:fldCharType="begin"/>
    </w:r>
    <w:r>
      <w:rPr>
        <w:rStyle w:val="79"/>
      </w:rPr>
      <w:instrText xml:space="preserve">PAGE  </w:instrText>
    </w:r>
    <w:r>
      <w:fldChar w:fldCharType="separate"/>
    </w:r>
    <w:r>
      <w:rPr>
        <w:rStyle w:val="79"/>
      </w:rPr>
      <w:t>II</w:t>
    </w:r>
    <w:r>
      <w:fldChar w:fldCharType="end"/>
    </w:r>
  </w:p>
  <w:p>
    <w:pPr>
      <w:pStyle w:val="303"/>
      <w:ind w:right="360" w:firstLine="360"/>
      <w:rPr>
        <w:rStyle w:val="79"/>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0"/>
      <w:ind w:right="210"/>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0"/>
      <w:ind w:left="170" w:right="210"/>
    </w:pPr>
    <w:r>
      <w:fldChar w:fldCharType="begin"/>
    </w:r>
    <w:r>
      <w:rPr>
        <w:rStyle w:val="79"/>
      </w:rPr>
      <w:instrText xml:space="preserve"> PAGE </w:instrText>
    </w:r>
    <w:r>
      <w:fldChar w:fldCharType="separate"/>
    </w:r>
    <w:r>
      <w:rPr>
        <w:rStyle w:val="79"/>
      </w:rPr>
      <w:t>I</w:t>
    </w:r>
    <w:r>
      <w:fldChar w:fldCharType="end"/>
    </w: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0"/>
      <w:ind w:left="170" w:right="210"/>
      <w:jc w:val="left"/>
    </w:pPr>
    <w:r>
      <w:fldChar w:fldCharType="begin"/>
    </w:r>
    <w:r>
      <w:rPr>
        <w:rStyle w:val="79"/>
      </w:rPr>
      <w:instrText xml:space="preserve"> PAGE </w:instrText>
    </w:r>
    <w:r>
      <w:fldChar w:fldCharType="separate"/>
    </w:r>
    <w:r>
      <w:rPr>
        <w:rStyle w:val="79"/>
      </w:rPr>
      <w:t>II</w:t>
    </w:r>
    <w:r>
      <w:fldChar w:fldCharType="end"/>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0"/>
      <w:ind w:right="210"/>
      <w:rPr>
        <w:rFonts w:hint="eastAsia"/>
      </w:rPr>
    </w:pPr>
    <w:r>
      <w:fldChar w:fldCharType="begin"/>
    </w:r>
    <w:r>
      <w:instrText xml:space="preserve">PAGE   \* MERGEFORMAT</w:instrText>
    </w:r>
    <w:r>
      <w:fldChar w:fldCharType="separate"/>
    </w:r>
    <w:r>
      <w:rPr>
        <w:lang w:val="zh-CN"/>
      </w:rPr>
      <w:t>2</w:t>
    </w:r>
    <w:r>
      <w:fldChar w:fldCharType="end"/>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1"/>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1"/>
      <w:pBdr>
        <w:bottom w:val="none" w:color="auto" w:sz="0" w:space="0"/>
      </w:pBd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29"/>
    </w:pPr>
    <w:r>
      <w:t xml:space="preserve">  </w:t>
    </w: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1"/>
      <w:pBdr>
        <w:bottom w:val="none" w:color="auto" w:sz="0" w:space="0"/>
      </w:pBdr>
      <w:jc w:val="right"/>
      <w:rPr>
        <w:rFonts w:hint="eastAsia" w:eastAsia="EU-F1"/>
      </w:rPr>
    </w:pPr>
    <w:r>
      <w:rPr>
        <w:rFonts w:hint="eastAsia" w:ascii="黑体" w:hAnsi="黑体" w:eastAsia="黑体" w:cs="黑体"/>
        <w:sz w:val="21"/>
        <w:szCs w:val="21"/>
        <w:lang w:val="en-US" w:eastAsia="zh-CN"/>
      </w:rPr>
      <w:t>DL</w:t>
    </w:r>
    <w:r>
      <w:rPr>
        <w:rFonts w:ascii="黑体" w:hAnsi="黑体" w:eastAsia="黑体" w:cs="黑体"/>
        <w:sz w:val="21"/>
        <w:szCs w:val="21"/>
      </w:rPr>
      <w:t xml:space="preserve">/T </w:t>
    </w:r>
    <w:r>
      <w:rPr>
        <w:rFonts w:hint="eastAsia" w:ascii="黑体" w:hAnsi="黑体" w:eastAsia="黑体" w:cs="黑体"/>
        <w:sz w:val="21"/>
        <w:szCs w:val="21"/>
        <w:lang w:val="en-US" w:eastAsia="zh-CN"/>
      </w:rPr>
      <w:t>2041</w:t>
    </w:r>
    <w:r>
      <w:rPr>
        <w:rFonts w:ascii="黑体" w:hAnsi="黑体" w:eastAsia="黑体" w:cs="黑体"/>
        <w:sz w:val="21"/>
        <w:szCs w:val="21"/>
      </w:rPr>
      <w:t>—</w:t>
    </w:r>
    <w:r>
      <w:rPr>
        <w:rFonts w:hint="eastAsia" w:ascii="黑体" w:hAnsi="黑体" w:eastAsia="黑体" w:cs="黑体"/>
        <w:sz w:val="21"/>
        <w:szCs w:val="21"/>
        <w:lang w:val="en-US" w:eastAsia="zh-CN"/>
      </w:rPr>
      <w:t>2025</w:t>
    </w:r>
    <w:r>
      <w:rPr>
        <w:rFonts w:hint="eastAsia"/>
        <w:b/>
        <w:sz w:val="21"/>
      </w:rPr>
      <w:t xml:space="preserve"> </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1"/>
      <w:pBdr>
        <w:bottom w:val="none" w:color="auto" w:sz="0" w:space="0"/>
      </w:pBdr>
      <w:jc w:val="left"/>
      <w:rPr>
        <w:rFonts w:hint="eastAsia" w:eastAsia="EU-F1"/>
      </w:rPr>
    </w:pPr>
    <w:r>
      <w:rPr>
        <w:rFonts w:hint="eastAsia" w:ascii="黑体" w:hAnsi="黑体" w:eastAsia="黑体" w:cs="黑体"/>
        <w:sz w:val="21"/>
        <w:szCs w:val="21"/>
        <w:lang w:val="en-US" w:eastAsia="zh-CN"/>
      </w:rPr>
      <w:t>DL</w:t>
    </w:r>
    <w:r>
      <w:rPr>
        <w:rFonts w:ascii="黑体" w:hAnsi="黑体" w:eastAsia="黑体" w:cs="黑体"/>
        <w:sz w:val="21"/>
        <w:szCs w:val="21"/>
      </w:rPr>
      <w:t xml:space="preserve">/T </w:t>
    </w:r>
    <w:r>
      <w:rPr>
        <w:rFonts w:hint="eastAsia" w:ascii="黑体" w:hAnsi="黑体" w:eastAsia="黑体" w:cs="黑体"/>
        <w:sz w:val="21"/>
        <w:szCs w:val="21"/>
        <w:lang w:val="en-US" w:eastAsia="zh-CN"/>
      </w:rPr>
      <w:t>2041</w:t>
    </w:r>
    <w:r>
      <w:rPr>
        <w:rFonts w:ascii="黑体" w:hAnsi="黑体" w:eastAsia="黑体" w:cs="黑体"/>
        <w:sz w:val="21"/>
        <w:szCs w:val="21"/>
      </w:rPr>
      <w:t>—</w:t>
    </w:r>
    <w:r>
      <w:rPr>
        <w:rFonts w:hint="eastAsia" w:ascii="黑体" w:hAnsi="黑体" w:eastAsia="黑体" w:cs="黑体"/>
        <w:sz w:val="21"/>
        <w:szCs w:val="21"/>
        <w:lang w:val="en-US" w:eastAsia="zh-CN"/>
      </w:rPr>
      <w:t>2025</w:t>
    </w:r>
    <w:r>
      <w:rPr>
        <w:rFonts w:hint="eastAsia"/>
        <w:b/>
        <w:sz w:val="21"/>
      </w:rPr>
      <w:t xml:space="preserve">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B66386C"/>
    <w:multiLevelType w:val="singleLevel"/>
    <w:tmpl w:val="BB66386C"/>
    <w:lvl w:ilvl="0" w:tentative="0">
      <w:start w:val="1"/>
      <w:numFmt w:val="decimal"/>
      <w:lvlText w:val="%1)"/>
      <w:lvlJc w:val="left"/>
      <w:pPr>
        <w:ind w:left="425" w:hanging="425"/>
      </w:pPr>
      <w:rPr>
        <w:rFonts w:hint="default"/>
      </w:rPr>
    </w:lvl>
  </w:abstractNum>
  <w:abstractNum w:abstractNumId="1">
    <w:nsid w:val="D5B714D7"/>
    <w:multiLevelType w:val="multilevel"/>
    <w:tmpl w:val="D5B714D7"/>
    <w:lvl w:ilvl="0" w:tentative="0">
      <w:start w:val="1"/>
      <w:numFmt w:val="lowerLetter"/>
      <w:lvlText w:val="%1)"/>
      <w:lvlJc w:val="left"/>
      <w:pPr>
        <w:ind w:left="862" w:hanging="442"/>
      </w:pPr>
      <w:rPr>
        <w:rFonts w:hint="eastAsia"/>
      </w:rPr>
    </w:lvl>
    <w:lvl w:ilvl="1" w:tentative="0">
      <w:start w:val="1"/>
      <w:numFmt w:val="lowerLetter"/>
      <w:lvlText w:val="%2)"/>
      <w:lvlJc w:val="left"/>
      <w:pPr>
        <w:ind w:left="1510" w:hanging="440"/>
      </w:pPr>
    </w:lvl>
    <w:lvl w:ilvl="2" w:tentative="0">
      <w:start w:val="1"/>
      <w:numFmt w:val="lowerRoman"/>
      <w:lvlText w:val="%3."/>
      <w:lvlJc w:val="right"/>
      <w:pPr>
        <w:ind w:left="1950" w:hanging="440"/>
      </w:pPr>
    </w:lvl>
    <w:lvl w:ilvl="3" w:tentative="0">
      <w:start w:val="1"/>
      <w:numFmt w:val="decimal"/>
      <w:lvlText w:val="%4."/>
      <w:lvlJc w:val="left"/>
      <w:pPr>
        <w:ind w:left="2390" w:hanging="440"/>
      </w:pPr>
    </w:lvl>
    <w:lvl w:ilvl="4" w:tentative="0">
      <w:start w:val="1"/>
      <w:numFmt w:val="lowerLetter"/>
      <w:lvlText w:val="%5)"/>
      <w:lvlJc w:val="left"/>
      <w:pPr>
        <w:ind w:left="2830" w:hanging="440"/>
      </w:pPr>
    </w:lvl>
    <w:lvl w:ilvl="5" w:tentative="0">
      <w:start w:val="1"/>
      <w:numFmt w:val="lowerRoman"/>
      <w:lvlText w:val="%6."/>
      <w:lvlJc w:val="right"/>
      <w:pPr>
        <w:ind w:left="3270" w:hanging="440"/>
      </w:pPr>
    </w:lvl>
    <w:lvl w:ilvl="6" w:tentative="0">
      <w:start w:val="1"/>
      <w:numFmt w:val="decimal"/>
      <w:lvlText w:val="%7."/>
      <w:lvlJc w:val="left"/>
      <w:pPr>
        <w:ind w:left="3710" w:hanging="440"/>
      </w:pPr>
    </w:lvl>
    <w:lvl w:ilvl="7" w:tentative="0">
      <w:start w:val="1"/>
      <w:numFmt w:val="lowerLetter"/>
      <w:lvlText w:val="%8)"/>
      <w:lvlJc w:val="left"/>
      <w:pPr>
        <w:ind w:left="4150" w:hanging="440"/>
      </w:pPr>
    </w:lvl>
    <w:lvl w:ilvl="8" w:tentative="0">
      <w:start w:val="1"/>
      <w:numFmt w:val="lowerRoman"/>
      <w:lvlText w:val="%9."/>
      <w:lvlJc w:val="right"/>
      <w:pPr>
        <w:ind w:left="4590" w:hanging="440"/>
      </w:pPr>
    </w:lvl>
  </w:abstractNum>
  <w:abstractNum w:abstractNumId="2">
    <w:nsid w:val="00000002"/>
    <w:multiLevelType w:val="multilevel"/>
    <w:tmpl w:val="00000002"/>
    <w:lvl w:ilvl="0" w:tentative="0">
      <w:start w:val="1"/>
      <w:numFmt w:val="none"/>
      <w:suff w:val="nothing"/>
      <w:lvlText w:val="%1"/>
      <w:lvlJc w:val="left"/>
      <w:pPr>
        <w:ind w:left="0" w:firstLine="0"/>
      </w:pPr>
      <w:rPr>
        <w:rFonts w:hint="default" w:ascii="Times New Roman" w:hAnsi="Times New Roman"/>
        <w:b/>
        <w:i w:val="0"/>
        <w:sz w:val="21"/>
      </w:rPr>
    </w:lvl>
    <w:lvl w:ilvl="1" w:tentative="0">
      <w:start w:val="1"/>
      <w:numFmt w:val="decimal"/>
      <w:suff w:val="nothing"/>
      <w:lvlText w:val="%1%2　"/>
      <w:lvlJc w:val="left"/>
      <w:pPr>
        <w:ind w:left="0" w:firstLine="0"/>
      </w:pPr>
      <w:rPr>
        <w:rFonts w:hint="eastAsia" w:ascii="黑体" w:hAnsi="Times New Roman" w:eastAsia="黑体"/>
        <w:b w:val="0"/>
        <w:i w:val="0"/>
        <w:sz w:val="21"/>
      </w:rPr>
    </w:lvl>
    <w:lvl w:ilvl="2" w:tentative="0">
      <w:start w:val="1"/>
      <w:numFmt w:val="decimal"/>
      <w:suff w:val="nothing"/>
      <w:lvlText w:val="%1%2.%3　"/>
      <w:lvlJc w:val="left"/>
      <w:pPr>
        <w:ind w:left="540" w:firstLine="0"/>
      </w:pPr>
      <w:rPr>
        <w:rFonts w:hint="eastAsia" w:ascii="黑体" w:hAnsi="Times New Roman" w:eastAsia="黑体"/>
        <w:b w:val="0"/>
        <w:i w:val="0"/>
        <w:sz w:val="21"/>
      </w:rPr>
    </w:lvl>
    <w:lvl w:ilvl="3" w:tentative="0">
      <w:start w:val="1"/>
      <w:numFmt w:val="decimal"/>
      <w:suff w:val="nothing"/>
      <w:lvlText w:val="%1%2.%3.%4　"/>
      <w:lvlJc w:val="left"/>
      <w:pPr>
        <w:ind w:left="540" w:firstLine="0"/>
      </w:pPr>
      <w:rPr>
        <w:rFonts w:hint="eastAsia" w:ascii="黑体" w:hAnsi="Times New Roman" w:eastAsia="黑体"/>
        <w:b w:val="0"/>
        <w:i w:val="0"/>
        <w:sz w:val="21"/>
      </w:rPr>
    </w:lvl>
    <w:lvl w:ilvl="4" w:tentative="0">
      <w:start w:val="1"/>
      <w:numFmt w:val="decimal"/>
      <w:pStyle w:val="193"/>
      <w:suff w:val="nothing"/>
      <w:lvlText w:val="%1%2.%3.%4.%5　"/>
      <w:lvlJc w:val="left"/>
      <w:pPr>
        <w:ind w:left="360" w:firstLine="0"/>
      </w:pPr>
      <w:rPr>
        <w:rFonts w:hint="default" w:ascii="Times New Roman" w:hAnsi="Times New Roman" w:eastAsia="黑体"/>
        <w:b w:val="0"/>
        <w:i w:val="0"/>
        <w:sz w:val="21"/>
      </w:rPr>
    </w:lvl>
    <w:lvl w:ilvl="5" w:tentative="0">
      <w:start w:val="1"/>
      <w:numFmt w:val="decimal"/>
      <w:pStyle w:val="192"/>
      <w:suff w:val="nothing"/>
      <w:lvlText w:val="%1%2.%3.%4.%5.%6　"/>
      <w:lvlJc w:val="left"/>
      <w:pPr>
        <w:ind w:left="0" w:firstLine="0"/>
      </w:pPr>
      <w:rPr>
        <w:rFonts w:hint="default" w:ascii="Times New Roman" w:hAnsi="Times New Roman" w:eastAsia="黑体"/>
        <w:b w:val="0"/>
        <w:i w:val="0"/>
        <w:sz w:val="21"/>
      </w:rPr>
    </w:lvl>
    <w:lvl w:ilvl="6" w:tentative="0">
      <w:start w:val="1"/>
      <w:numFmt w:val="decimal"/>
      <w:suff w:val="nothing"/>
      <w:lvlText w:val="%1%2.%3.%4.%5.%6.%7　"/>
      <w:lvlJc w:val="left"/>
      <w:pPr>
        <w:ind w:left="0" w:firstLine="0"/>
      </w:pPr>
      <w:rPr>
        <w:rFonts w:hint="eastAsia" w:ascii="黑体" w:hAnsi="Times New Roman" w:eastAsia="黑体"/>
        <w:b w:val="0"/>
        <w:i w:val="0"/>
        <w:sz w:val="21"/>
      </w:rPr>
    </w:lvl>
    <w:lvl w:ilvl="7" w:tentative="0">
      <w:start w:val="1"/>
      <w:numFmt w:val="decimal"/>
      <w:lvlText w:val="%1.%2.%3.%4.%5.%6.%7.%8"/>
      <w:lvlJc w:val="left"/>
      <w:pPr>
        <w:tabs>
          <w:tab w:val="left" w:pos="4351"/>
        </w:tabs>
        <w:ind w:left="3969" w:hanging="1418"/>
      </w:pPr>
      <w:rPr>
        <w:rFonts w:hint="eastAsia"/>
      </w:rPr>
    </w:lvl>
    <w:lvl w:ilvl="8" w:tentative="0">
      <w:start w:val="1"/>
      <w:numFmt w:val="decimal"/>
      <w:lvlText w:val="%1.%2.%3.%4.%5.%6.%7.%8.%9"/>
      <w:lvlJc w:val="left"/>
      <w:pPr>
        <w:tabs>
          <w:tab w:val="left" w:pos="4777"/>
        </w:tabs>
        <w:ind w:left="4677" w:hanging="1700"/>
      </w:pPr>
      <w:rPr>
        <w:rFonts w:hint="eastAsia"/>
      </w:rPr>
    </w:lvl>
  </w:abstractNum>
  <w:abstractNum w:abstractNumId="3">
    <w:nsid w:val="00000004"/>
    <w:multiLevelType w:val="multilevel"/>
    <w:tmpl w:val="00000004"/>
    <w:lvl w:ilvl="0" w:tentative="0">
      <w:start w:val="1"/>
      <w:numFmt w:val="none"/>
      <w:suff w:val="nothing"/>
      <w:lvlText w:val=""/>
      <w:lvlJc w:val="left"/>
      <w:pPr>
        <w:ind w:left="0" w:firstLine="0"/>
      </w:pPr>
      <w:rPr>
        <w:rFonts w:hint="eastAsia" w:ascii="黑体" w:hAnsi="Times New Roman" w:eastAsia="黑体"/>
        <w:b/>
        <w:i w:val="0"/>
        <w:sz w:val="28"/>
      </w:rPr>
    </w:lvl>
    <w:lvl w:ilvl="1" w:tentative="0">
      <w:start w:val="1"/>
      <w:numFmt w:val="decimal"/>
      <w:pStyle w:val="202"/>
      <w:suff w:val="nothing"/>
      <w:lvlText w:val="%1%2 "/>
      <w:lvlJc w:val="left"/>
      <w:pPr>
        <w:ind w:left="0" w:firstLine="0"/>
      </w:pPr>
      <w:rPr>
        <w:rFonts w:hint="eastAsia" w:ascii="黑体" w:hAnsi="Times New Roman" w:eastAsia="黑体"/>
        <w:b/>
        <w:i w:val="0"/>
        <w:sz w:val="28"/>
      </w:rPr>
    </w:lvl>
    <w:lvl w:ilvl="2" w:tentative="0">
      <w:start w:val="1"/>
      <w:numFmt w:val="decimal"/>
      <w:pStyle w:val="201"/>
      <w:suff w:val="nothing"/>
      <w:lvlText w:val="%1%2.%3　"/>
      <w:lvlJc w:val="left"/>
      <w:pPr>
        <w:ind w:left="0" w:firstLine="0"/>
      </w:pPr>
      <w:rPr>
        <w:rFonts w:hint="eastAsia" w:ascii="黑体" w:hAnsi="Times New Roman" w:eastAsia="黑体"/>
        <w:b/>
        <w:i w:val="0"/>
        <w:sz w:val="21"/>
      </w:rPr>
    </w:lvl>
    <w:lvl w:ilvl="3" w:tentative="0">
      <w:start w:val="1"/>
      <w:numFmt w:val="decimal"/>
      <w:pStyle w:val="200"/>
      <w:suff w:val="nothing"/>
      <w:lvlText w:val="%1%2.%3.%4　"/>
      <w:lvlJc w:val="left"/>
      <w:pPr>
        <w:ind w:left="0" w:firstLine="0"/>
      </w:pPr>
      <w:rPr>
        <w:rFonts w:hint="eastAsia" w:ascii="黑体" w:hAnsi="Times New Roman" w:eastAsia="黑体"/>
        <w:b/>
        <w:i w:val="0"/>
        <w:sz w:val="21"/>
      </w:rPr>
    </w:lvl>
    <w:lvl w:ilvl="4" w:tentative="0">
      <w:start w:val="1"/>
      <w:numFmt w:val="decimal"/>
      <w:pStyle w:val="292"/>
      <w:suff w:val="nothing"/>
      <w:lvlText w:val="表%1%2.%3.%4-%5 "/>
      <w:lvlJc w:val="left"/>
      <w:pPr>
        <w:ind w:left="0" w:firstLine="0"/>
      </w:pPr>
      <w:rPr>
        <w:rFonts w:hint="eastAsia" w:ascii="黑体" w:hAnsi="Times New Roman" w:eastAsia="黑体"/>
        <w:b/>
        <w:i w:val="0"/>
        <w:sz w:val="21"/>
      </w:rPr>
    </w:lvl>
    <w:lvl w:ilvl="5" w:tentative="0">
      <w:start w:val="1"/>
      <w:numFmt w:val="decimal"/>
      <w:pStyle w:val="397"/>
      <w:suff w:val="nothing"/>
      <w:lvlText w:val="%1图%2.%3.%4-%6 "/>
      <w:lvlJc w:val="left"/>
      <w:pPr>
        <w:ind w:left="0" w:firstLine="0"/>
      </w:pPr>
      <w:rPr>
        <w:rFonts w:hint="eastAsia" w:ascii="黑体" w:hAnsi="Times New Roman" w:eastAsia="黑体"/>
        <w:b/>
        <w:i w:val="0"/>
        <w:sz w:val="21"/>
      </w:rPr>
    </w:lvl>
    <w:lvl w:ilvl="6" w:tentative="0">
      <w:start w:val="1"/>
      <w:numFmt w:val="decimal"/>
      <w:pStyle w:val="422"/>
      <w:suff w:val="nothing"/>
      <w:lvlText w:val="(%2.%3.%4-%7)"/>
      <w:lvlJc w:val="center"/>
      <w:pPr>
        <w:ind w:left="288" w:firstLine="288"/>
      </w:pPr>
      <w:rPr>
        <w:rFonts w:hint="eastAsia" w:ascii="黑体" w:hAnsi="Times New Roman" w:eastAsia="黑体"/>
        <w:b/>
        <w:i w:val="0"/>
        <w:sz w:val="21"/>
      </w:rPr>
    </w:lvl>
    <w:lvl w:ilvl="7" w:tentative="0">
      <w:start w:val="1"/>
      <w:numFmt w:val="decimal"/>
      <w:pStyle w:val="199"/>
      <w:lvlText w:val="    %1%8"/>
      <w:lvlJc w:val="left"/>
      <w:pPr>
        <w:tabs>
          <w:tab w:val="left" w:pos="720"/>
        </w:tabs>
        <w:ind w:left="0" w:firstLine="0"/>
      </w:pPr>
      <w:rPr>
        <w:rFonts w:hint="eastAsia" w:ascii="黑体" w:eastAsia="黑体"/>
        <w:b/>
        <w:i w:val="0"/>
        <w:sz w:val="21"/>
      </w:rPr>
    </w:lvl>
    <w:lvl w:ilvl="8" w:tentative="0">
      <w:start w:val="1"/>
      <w:numFmt w:val="decimal"/>
      <w:pStyle w:val="214"/>
      <w:lvlText w:val="%2.0.%9"/>
      <w:lvlJc w:val="left"/>
      <w:pPr>
        <w:tabs>
          <w:tab w:val="left" w:pos="720"/>
        </w:tabs>
        <w:ind w:left="0" w:firstLine="0"/>
      </w:pPr>
      <w:rPr>
        <w:rFonts w:hint="eastAsia" w:ascii="黑体" w:hAnsi="华文细黑" w:eastAsia="黑体"/>
        <w:b/>
        <w:i w:val="0"/>
        <w:sz w:val="21"/>
      </w:rPr>
    </w:lvl>
  </w:abstractNum>
  <w:abstractNum w:abstractNumId="4">
    <w:nsid w:val="00000005"/>
    <w:multiLevelType w:val="multilevel"/>
    <w:tmpl w:val="00000005"/>
    <w:lvl w:ilvl="0" w:tentative="0">
      <w:start w:val="1"/>
      <w:numFmt w:val="decimal"/>
      <w:pStyle w:val="345"/>
      <w:lvlText w:val="%1、"/>
      <w:lvlJc w:val="left"/>
      <w:pPr>
        <w:tabs>
          <w:tab w:val="left" w:pos="360"/>
        </w:tabs>
        <w:ind w:left="360" w:hanging="360"/>
      </w:pPr>
      <w:rPr>
        <w:rFonts w:hint="default"/>
      </w:rPr>
    </w:lvl>
    <w:lvl w:ilvl="1" w:tentative="0">
      <w:start w:val="1"/>
      <w:numFmt w:val="lowerLetter"/>
      <w:lvlText w:val="%2)"/>
      <w:lvlJc w:val="left"/>
      <w:pPr>
        <w:tabs>
          <w:tab w:val="left" w:pos="840"/>
        </w:tabs>
        <w:ind w:left="840" w:hanging="420"/>
      </w:pPr>
    </w:lvl>
    <w:lvl w:ilvl="2" w:tentative="0">
      <w:start w:val="1"/>
      <w:numFmt w:val="lowerRoman"/>
      <w:pStyle w:val="252"/>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5">
    <w:nsid w:val="00000006"/>
    <w:multiLevelType w:val="multilevel"/>
    <w:tmpl w:val="00000006"/>
    <w:lvl w:ilvl="0" w:tentative="0">
      <w:start w:val="1"/>
      <w:numFmt w:val="decimal"/>
      <w:pStyle w:val="277"/>
      <w:lvlText w:val="0.%1"/>
      <w:lvlJc w:val="left"/>
      <w:pPr>
        <w:tabs>
          <w:tab w:val="left" w:pos="360"/>
        </w:tabs>
        <w:ind w:left="0" w:firstLine="0"/>
      </w:pPr>
      <w:rPr>
        <w:rFonts w:hint="eastAsia" w:ascii="宋体" w:hAnsi="Times New Roman" w:eastAsia="宋体"/>
        <w:b/>
        <w:i w:val="0"/>
        <w:sz w:val="21"/>
      </w:rPr>
    </w:lvl>
    <w:lvl w:ilvl="1" w:tentative="0">
      <w:start w:val="1"/>
      <w:numFmt w:val="decimal"/>
      <w:lvlText w:val="0.%1.%2"/>
      <w:lvlJc w:val="left"/>
      <w:pPr>
        <w:tabs>
          <w:tab w:val="left" w:pos="720"/>
        </w:tabs>
        <w:ind w:left="0" w:firstLine="0"/>
      </w:pPr>
      <w:rPr>
        <w:rFonts w:hint="eastAsia" w:ascii="黑体" w:hAnsi="Times New Roman" w:eastAsia="黑体"/>
        <w:b/>
        <w:i w:val="0"/>
        <w:sz w:val="21"/>
      </w:rPr>
    </w:lvl>
    <w:lvl w:ilvl="2" w:tentative="0">
      <w:start w:val="1"/>
      <w:numFmt w:val="decimal"/>
      <w:lvlText w:val="0.%2.%3  "/>
      <w:lvlJc w:val="left"/>
      <w:pPr>
        <w:tabs>
          <w:tab w:val="left" w:pos="-31687"/>
        </w:tabs>
        <w:ind w:left="-32767" w:firstLine="0"/>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78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991"/>
        </w:tabs>
        <w:ind w:left="3827" w:hanging="1276"/>
      </w:pPr>
      <w:rPr>
        <w:rFonts w:hint="eastAsia"/>
      </w:rPr>
    </w:lvl>
    <w:lvl w:ilvl="7" w:tentative="0">
      <w:start w:val="1"/>
      <w:numFmt w:val="decimal"/>
      <w:lvlText w:val="%1.%2.%3.%4.%5.%6.%7.%8"/>
      <w:lvlJc w:val="left"/>
      <w:pPr>
        <w:tabs>
          <w:tab w:val="left" w:pos="4776"/>
        </w:tabs>
        <w:ind w:left="4394" w:hanging="1418"/>
      </w:pPr>
      <w:rPr>
        <w:rFonts w:hint="eastAsia"/>
      </w:rPr>
    </w:lvl>
    <w:lvl w:ilvl="8" w:tentative="0">
      <w:start w:val="1"/>
      <w:numFmt w:val="decimal"/>
      <w:lvlText w:val="%1.%2.%3.%4.%5.%6.%7.%8.%9"/>
      <w:lvlJc w:val="left"/>
      <w:pPr>
        <w:tabs>
          <w:tab w:val="left" w:pos="5562"/>
        </w:tabs>
        <w:ind w:left="5102" w:hanging="1700"/>
      </w:pPr>
      <w:rPr>
        <w:rFonts w:hint="eastAsia"/>
      </w:rPr>
    </w:lvl>
  </w:abstractNum>
  <w:abstractNum w:abstractNumId="6">
    <w:nsid w:val="0000000C"/>
    <w:multiLevelType w:val="multilevel"/>
    <w:tmpl w:val="0000000C"/>
    <w:lvl w:ilvl="0" w:tentative="0">
      <w:start w:val="1"/>
      <w:numFmt w:val="none"/>
      <w:pStyle w:val="441"/>
      <w:lvlText w:val="表"/>
      <w:lvlJc w:val="left"/>
      <w:pPr>
        <w:tabs>
          <w:tab w:val="left" w:pos="360"/>
        </w:tabs>
        <w:ind w:left="0" w:firstLine="0"/>
      </w:pPr>
      <w:rPr>
        <w:rFonts w:hint="eastAsia" w:ascii="宋体" w:eastAsia="宋体"/>
        <w:b w:val="0"/>
        <w:i w:val="0"/>
        <w:sz w:val="20"/>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7">
    <w:nsid w:val="0000000D"/>
    <w:multiLevelType w:val="multilevel"/>
    <w:tmpl w:val="0000000D"/>
    <w:lvl w:ilvl="0" w:tentative="0">
      <w:start w:val="1"/>
      <w:numFmt w:val="none"/>
      <w:pStyle w:val="445"/>
      <w:lvlText w:val="%1——"/>
      <w:lvlJc w:val="left"/>
      <w:pPr>
        <w:tabs>
          <w:tab w:val="left" w:pos="1140"/>
        </w:tabs>
        <w:ind w:left="840" w:hanging="420"/>
      </w:pPr>
      <w:rPr>
        <w:rFonts w:hint="eastAsia"/>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8">
    <w:nsid w:val="00000015"/>
    <w:multiLevelType w:val="multilevel"/>
    <w:tmpl w:val="00000015"/>
    <w:lvl w:ilvl="0" w:tentative="0">
      <w:start w:val="1"/>
      <w:numFmt w:val="none"/>
      <w:suff w:val="nothing"/>
      <w:lvlText w:val=""/>
      <w:lvlJc w:val="left"/>
      <w:pPr>
        <w:ind w:left="0" w:firstLine="0"/>
      </w:pPr>
      <w:rPr>
        <w:rFonts w:hint="eastAsia" w:ascii="黑体" w:hAnsi="Times New Roman" w:eastAsia="黑体"/>
        <w:b/>
        <w:i w:val="0"/>
        <w:sz w:val="21"/>
      </w:rPr>
    </w:lvl>
    <w:lvl w:ilvl="1" w:tentative="0">
      <w:start w:val="1"/>
      <w:numFmt w:val="decimal"/>
      <w:lvlText w:val="表%2"/>
      <w:lvlJc w:val="left"/>
      <w:pPr>
        <w:tabs>
          <w:tab w:val="left" w:pos="360"/>
        </w:tabs>
        <w:ind w:left="0" w:firstLine="0"/>
      </w:pPr>
      <w:rPr>
        <w:rFonts w:hint="eastAsia" w:ascii="黑体" w:hAnsi="Times New Roman" w:eastAsia="黑体"/>
        <w:b/>
        <w:i w:val="0"/>
        <w:sz w:val="20"/>
      </w:rPr>
    </w:lvl>
    <w:lvl w:ilvl="2" w:tentative="0">
      <w:start w:val="1"/>
      <w:numFmt w:val="none"/>
      <w:pStyle w:val="274"/>
      <w:suff w:val="nothing"/>
      <w:lvlText w:val="%1表%2(续)"/>
      <w:lvlJc w:val="left"/>
      <w:pPr>
        <w:ind w:left="0" w:firstLine="0"/>
      </w:pPr>
      <w:rPr>
        <w:rFonts w:hint="eastAsia" w:ascii="宋体" w:hAnsi="Times New Roman" w:eastAsia="宋体"/>
        <w:b w:val="0"/>
        <w:i w:val="0"/>
        <w:sz w:val="18"/>
      </w:rPr>
    </w:lvl>
    <w:lvl w:ilvl="3" w:tentative="0">
      <w:start w:val="1"/>
      <w:numFmt w:val="decimal"/>
      <w:suff w:val="nothing"/>
      <w:lvlText w:val="%1%2.%3.%4　"/>
      <w:lvlJc w:val="left"/>
      <w:pPr>
        <w:ind w:left="0" w:firstLine="0"/>
      </w:pPr>
      <w:rPr>
        <w:rFonts w:hint="default" w:ascii="Times New Roman" w:hAnsi="Times New Roman" w:eastAsia="黑体"/>
        <w:b w:val="0"/>
        <w:i w:val="0"/>
        <w:sz w:val="21"/>
      </w:rPr>
    </w:lvl>
    <w:lvl w:ilvl="4" w:tentative="0">
      <w:start w:val="1"/>
      <w:numFmt w:val="decimal"/>
      <w:suff w:val="nothing"/>
      <w:lvlText w:val="%1%2.%3.%4.%5　"/>
      <w:lvlJc w:val="left"/>
      <w:pPr>
        <w:ind w:left="0" w:firstLine="0"/>
      </w:pPr>
      <w:rPr>
        <w:rFonts w:hint="default" w:ascii="Times New Roman" w:hAnsi="Times New Roman" w:eastAsia="黑体"/>
        <w:b w:val="0"/>
        <w:i w:val="0"/>
        <w:sz w:val="21"/>
      </w:rPr>
    </w:lvl>
    <w:lvl w:ilvl="5" w:tentative="0">
      <w:start w:val="1"/>
      <w:numFmt w:val="decimal"/>
      <w:suff w:val="nothing"/>
      <w:lvlText w:val="%1%2.%3.%4.%5.%6　"/>
      <w:lvlJc w:val="left"/>
      <w:pPr>
        <w:ind w:left="0" w:firstLine="0"/>
      </w:pPr>
      <w:rPr>
        <w:rFonts w:hint="default" w:ascii="Times New Roman" w:hAnsi="Times New Roman" w:eastAsia="黑体"/>
        <w:b w:val="0"/>
        <w:i w:val="0"/>
        <w:sz w:val="21"/>
      </w:rPr>
    </w:lvl>
    <w:lvl w:ilvl="6" w:tentative="0">
      <w:start w:val="1"/>
      <w:numFmt w:val="decimal"/>
      <w:suff w:val="nothing"/>
      <w:lvlText w:val="%1%2.%3.%4.%5.%6.%7　"/>
      <w:lvlJc w:val="left"/>
      <w:pPr>
        <w:ind w:left="0" w:firstLine="0"/>
      </w:pPr>
      <w:rPr>
        <w:rFonts w:hint="default" w:ascii="Times New Roman" w:hAnsi="Times New Roman" w:eastAsia="黑体"/>
        <w:b w:val="0"/>
        <w:i w:val="0"/>
        <w:sz w:val="21"/>
      </w:rPr>
    </w:lvl>
    <w:lvl w:ilvl="7" w:tentative="0">
      <w:start w:val="1"/>
      <w:numFmt w:val="decimal"/>
      <w:lvlText w:val="%1.%2.%3.%4.%5.%6.%7.%8"/>
      <w:lvlJc w:val="left"/>
      <w:pPr>
        <w:tabs>
          <w:tab w:val="left" w:pos="3969"/>
        </w:tabs>
        <w:ind w:left="3969" w:hanging="1418"/>
      </w:pPr>
      <w:rPr>
        <w:rFonts w:hint="eastAsia"/>
      </w:rPr>
    </w:lvl>
    <w:lvl w:ilvl="8" w:tentative="0">
      <w:start w:val="1"/>
      <w:numFmt w:val="decimal"/>
      <w:lvlText w:val="%1.%2.%3.%4.%5.%6.%7.%8.%9"/>
      <w:lvlJc w:val="left"/>
      <w:pPr>
        <w:tabs>
          <w:tab w:val="left" w:pos="4677"/>
        </w:tabs>
        <w:ind w:left="4677" w:hanging="1700"/>
      </w:pPr>
      <w:rPr>
        <w:rFonts w:hint="eastAsia"/>
      </w:rPr>
    </w:lvl>
  </w:abstractNum>
  <w:abstractNum w:abstractNumId="9">
    <w:nsid w:val="00000016"/>
    <w:multiLevelType w:val="multilevel"/>
    <w:tmpl w:val="00000016"/>
    <w:lvl w:ilvl="0" w:tentative="0">
      <w:start w:val="1"/>
      <w:numFmt w:val="decimal"/>
      <w:lvlText w:val="0.%1"/>
      <w:lvlJc w:val="left"/>
      <w:pPr>
        <w:tabs>
          <w:tab w:val="left" w:pos="360"/>
        </w:tabs>
        <w:ind w:left="0" w:firstLine="0"/>
      </w:pPr>
      <w:rPr>
        <w:rFonts w:hint="eastAsia" w:ascii="黑体" w:hAnsi="Times New Roman" w:eastAsia="黑体"/>
        <w:b/>
        <w:i w:val="0"/>
        <w:sz w:val="21"/>
      </w:rPr>
    </w:lvl>
    <w:lvl w:ilvl="1" w:tentative="0">
      <w:start w:val="1"/>
      <w:numFmt w:val="decimal"/>
      <w:pStyle w:val="461"/>
      <w:lvlText w:val="0.%1.%2"/>
      <w:lvlJc w:val="left"/>
      <w:pPr>
        <w:tabs>
          <w:tab w:val="left" w:pos="720"/>
        </w:tabs>
        <w:ind w:left="0" w:firstLine="0"/>
      </w:pPr>
      <w:rPr>
        <w:rFonts w:hint="eastAsia" w:ascii="黑体" w:hAnsi="Times New Roman" w:eastAsia="黑体"/>
        <w:b/>
        <w:i w:val="0"/>
        <w:sz w:val="21"/>
      </w:rPr>
    </w:lvl>
    <w:lvl w:ilvl="2" w:tentative="0">
      <w:start w:val="1"/>
      <w:numFmt w:val="decimal"/>
      <w:lvlText w:val="0.%2.%3"/>
      <w:lvlJc w:val="left"/>
      <w:pPr>
        <w:tabs>
          <w:tab w:val="left" w:pos="720"/>
        </w:tabs>
        <w:ind w:left="0" w:firstLine="0"/>
      </w:pPr>
      <w:rPr>
        <w:rFonts w:hint="eastAsia"/>
      </w:rPr>
    </w:lvl>
    <w:lvl w:ilvl="3" w:tentative="0">
      <w:start w:val="1"/>
      <w:numFmt w:val="decimal"/>
      <w:lvlText w:val="%1.%2.%3.%4"/>
      <w:lvlJc w:val="left"/>
      <w:pPr>
        <w:tabs>
          <w:tab w:val="left" w:pos="2356"/>
        </w:tabs>
        <w:ind w:left="1984" w:hanging="708"/>
      </w:pPr>
      <w:rPr>
        <w:rFonts w:hint="eastAsia"/>
      </w:rPr>
    </w:lvl>
    <w:lvl w:ilvl="4" w:tentative="0">
      <w:start w:val="1"/>
      <w:numFmt w:val="decimal"/>
      <w:pStyle w:val="428"/>
      <w:lvlText w:val="%1.%2.%3.%4.%5"/>
      <w:lvlJc w:val="left"/>
      <w:pPr>
        <w:tabs>
          <w:tab w:val="left" w:pos="2781"/>
        </w:tabs>
        <w:ind w:left="2551" w:hanging="850"/>
      </w:pPr>
      <w:rPr>
        <w:rFonts w:hint="eastAsia"/>
      </w:rPr>
    </w:lvl>
    <w:lvl w:ilvl="5" w:tentative="0">
      <w:start w:val="1"/>
      <w:numFmt w:val="decimal"/>
      <w:lvlText w:val="%1.%2.%3.%4.%5.%6"/>
      <w:lvlJc w:val="left"/>
      <w:pPr>
        <w:tabs>
          <w:tab w:val="left" w:pos="3566"/>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776"/>
        </w:tabs>
        <w:ind w:left="4394" w:hanging="1418"/>
      </w:pPr>
      <w:rPr>
        <w:rFonts w:hint="eastAsia"/>
      </w:rPr>
    </w:lvl>
    <w:lvl w:ilvl="8" w:tentative="0">
      <w:start w:val="1"/>
      <w:numFmt w:val="decimal"/>
      <w:lvlText w:val="%1.%2.%3.%4.%5.%6.%7.%8.%9"/>
      <w:lvlJc w:val="left"/>
      <w:pPr>
        <w:tabs>
          <w:tab w:val="left" w:pos="5562"/>
        </w:tabs>
        <w:ind w:left="5102" w:hanging="1700"/>
      </w:pPr>
      <w:rPr>
        <w:rFonts w:hint="eastAsia"/>
      </w:rPr>
    </w:lvl>
  </w:abstractNum>
  <w:abstractNum w:abstractNumId="10">
    <w:nsid w:val="0000001A"/>
    <w:multiLevelType w:val="multilevel"/>
    <w:tmpl w:val="0000001A"/>
    <w:lvl w:ilvl="0" w:tentative="0">
      <w:start w:val="1"/>
      <w:numFmt w:val="decimal"/>
      <w:pStyle w:val="215"/>
      <w:lvlText w:val="2.%1"/>
      <w:lvlJc w:val="left"/>
      <w:pPr>
        <w:tabs>
          <w:tab w:val="left" w:pos="360"/>
        </w:tabs>
        <w:ind w:left="0" w:firstLine="0"/>
      </w:pPr>
      <w:rPr>
        <w:rFonts w:hint="eastAsia" w:ascii="黑体" w:hAnsi="Times New Roman" w:eastAsia="黑体"/>
        <w:b/>
        <w:i w:val="0"/>
        <w:sz w:val="20"/>
      </w:rPr>
    </w:lvl>
    <w:lvl w:ilvl="1" w:tentative="0">
      <w:start w:val="1"/>
      <w:numFmt w:val="decimal"/>
      <w:pStyle w:val="224"/>
      <w:lvlText w:val="2.%1.%2"/>
      <w:lvlJc w:val="left"/>
      <w:pPr>
        <w:tabs>
          <w:tab w:val="left" w:pos="720"/>
        </w:tabs>
        <w:ind w:left="0" w:firstLine="0"/>
      </w:pPr>
      <w:rPr>
        <w:rFonts w:hint="eastAsia" w:ascii="黑体" w:hAnsi="Times New Roman" w:eastAsia="黑体"/>
        <w:b/>
        <w:i w:val="0"/>
        <w:sz w:val="20"/>
      </w:rPr>
    </w:lvl>
    <w:lvl w:ilvl="2" w:tentative="0">
      <w:start w:val="1"/>
      <w:numFmt w:val="decimal"/>
      <w:pStyle w:val="349"/>
      <w:lvlText w:val="2.%1.%2.%3"/>
      <w:lvlJc w:val="left"/>
      <w:pPr>
        <w:tabs>
          <w:tab w:val="left" w:pos="720"/>
        </w:tabs>
        <w:ind w:left="0" w:firstLine="0"/>
      </w:pPr>
      <w:rPr>
        <w:rFonts w:hint="eastAsia" w:ascii="黑体" w:hAnsi="Times New Roman" w:eastAsia="黑体"/>
        <w:b/>
        <w:i w:val="0"/>
        <w:sz w:val="20"/>
      </w:rPr>
    </w:lvl>
    <w:lvl w:ilvl="3" w:tentative="0">
      <w:start w:val="1"/>
      <w:numFmt w:val="decimal"/>
      <w:pStyle w:val="432"/>
      <w:lvlText w:val="2.%1.%2.%3.%4"/>
      <w:lvlJc w:val="left"/>
      <w:pPr>
        <w:tabs>
          <w:tab w:val="left" w:pos="1080"/>
        </w:tabs>
        <w:ind w:left="0" w:firstLine="0"/>
      </w:pPr>
      <w:rPr>
        <w:rFonts w:hint="eastAsia" w:ascii="黑体" w:hAnsi="Times New Roman" w:eastAsia="黑体"/>
        <w:b/>
        <w:i w:val="0"/>
        <w:sz w:val="20"/>
      </w:rPr>
    </w:lvl>
    <w:lvl w:ilvl="4" w:tentative="0">
      <w:start w:val="1"/>
      <w:numFmt w:val="decimal"/>
      <w:pStyle w:val="369"/>
      <w:lvlText w:val="2.%1.%2.%3.%4.%5"/>
      <w:lvlJc w:val="left"/>
      <w:pPr>
        <w:tabs>
          <w:tab w:val="left" w:pos="1440"/>
        </w:tabs>
        <w:ind w:left="0" w:firstLine="0"/>
      </w:pPr>
      <w:rPr>
        <w:rFonts w:hint="eastAsia" w:ascii="黑体" w:hAnsi="Times New Roman" w:eastAsia="黑体"/>
        <w:b/>
        <w:i w:val="0"/>
        <w:sz w:val="20"/>
      </w:rPr>
    </w:lvl>
    <w:lvl w:ilvl="5" w:tentative="0">
      <w:start w:val="1"/>
      <w:numFmt w:val="decimal"/>
      <w:lvlText w:val="    %6"/>
      <w:lvlJc w:val="left"/>
      <w:pPr>
        <w:tabs>
          <w:tab w:val="left" w:pos="1021"/>
        </w:tabs>
        <w:ind w:left="1021" w:hanging="1021"/>
      </w:pPr>
      <w:rPr>
        <w:rFonts w:hint="eastAsia" w:ascii="黑体" w:hAnsi="Times New Roman" w:eastAsia="黑体"/>
        <w:b/>
        <w:i w:val="0"/>
        <w:sz w:val="21"/>
      </w:rPr>
    </w:lvl>
    <w:lvl w:ilvl="6" w:tentative="0">
      <w:start w:val="1"/>
      <w:numFmt w:val="decimal"/>
      <w:lvlText w:val="表 %2.%3.%4-%7"/>
      <w:lvlJc w:val="left"/>
      <w:pPr>
        <w:tabs>
          <w:tab w:val="left" w:pos="1080"/>
        </w:tabs>
        <w:ind w:left="0" w:firstLine="0"/>
      </w:pPr>
      <w:rPr>
        <w:rFonts w:hint="eastAsia" w:ascii="黑体" w:hAnsi="Times New Roman" w:eastAsia="黑体"/>
        <w:b/>
        <w:i w:val="0"/>
        <w:sz w:val="21"/>
      </w:rPr>
    </w:lvl>
    <w:lvl w:ilvl="7" w:tentative="0">
      <w:start w:val="1"/>
      <w:numFmt w:val="decimal"/>
      <w:lvlText w:val="图 %2.%3.%4-%8"/>
      <w:lvlJc w:val="left"/>
      <w:pPr>
        <w:tabs>
          <w:tab w:val="left" w:pos="1080"/>
        </w:tabs>
        <w:ind w:left="0" w:firstLine="0"/>
      </w:pPr>
      <w:rPr>
        <w:rFonts w:hint="eastAsia" w:ascii="黑体" w:eastAsia="黑体"/>
        <w:b/>
        <w:i w:val="0"/>
        <w:sz w:val="21"/>
      </w:rPr>
    </w:lvl>
    <w:lvl w:ilvl="8" w:tentative="0">
      <w:start w:val="1"/>
      <w:numFmt w:val="decimal"/>
      <w:lvlText w:val="      %9)"/>
      <w:lvlJc w:val="left"/>
      <w:pPr>
        <w:tabs>
          <w:tab w:val="left" w:pos="1080"/>
        </w:tabs>
        <w:ind w:left="0" w:firstLine="0"/>
      </w:pPr>
      <w:rPr>
        <w:rFonts w:hint="eastAsia" w:ascii="黑体" w:hAnsi="华文细黑" w:eastAsia="黑体"/>
        <w:b/>
        <w:i w:val="0"/>
        <w:sz w:val="21"/>
      </w:rPr>
    </w:lvl>
  </w:abstractNum>
  <w:abstractNum w:abstractNumId="11">
    <w:nsid w:val="0000001C"/>
    <w:multiLevelType w:val="multilevel"/>
    <w:tmpl w:val="0000001C"/>
    <w:lvl w:ilvl="0" w:tentative="0">
      <w:start w:val="1"/>
      <w:numFmt w:val="none"/>
      <w:pStyle w:val="389"/>
      <w:lvlText w:val="%1·　"/>
      <w:lvlJc w:val="left"/>
      <w:pPr>
        <w:tabs>
          <w:tab w:val="left" w:pos="1140"/>
        </w:tabs>
        <w:ind w:left="737" w:hanging="317"/>
      </w:pPr>
      <w:rPr>
        <w:rFonts w:hint="eastAsia" w:ascii="宋体" w:hAnsi="Times New Roman" w:eastAsia="宋体"/>
        <w:b w:val="0"/>
        <w:i w:val="0"/>
        <w:sz w:val="21"/>
      </w:rPr>
    </w:lvl>
    <w:lvl w:ilvl="1" w:tentative="0">
      <w:start w:val="1"/>
      <w:numFmt w:val="bullet"/>
      <w:lvlText w:val=""/>
      <w:lvlJc w:val="left"/>
      <w:pPr>
        <w:tabs>
          <w:tab w:val="left" w:pos="840"/>
        </w:tabs>
        <w:ind w:left="840" w:hanging="420"/>
      </w:pPr>
      <w:rPr>
        <w:rFonts w:hint="default" w:ascii="Wingdings" w:hAnsi="Wingdings"/>
      </w:rPr>
    </w:lvl>
    <w:lvl w:ilvl="2" w:tentative="0">
      <w:start w:val="1"/>
      <w:numFmt w:val="bullet"/>
      <w:lvlText w:val=""/>
      <w:lvlJc w:val="left"/>
      <w:pPr>
        <w:tabs>
          <w:tab w:val="left" w:pos="1260"/>
        </w:tabs>
        <w:ind w:left="1260" w:hanging="420"/>
      </w:pPr>
      <w:rPr>
        <w:rFonts w:hint="default" w:ascii="Wingdings" w:hAnsi="Wingdings"/>
      </w:rPr>
    </w:lvl>
    <w:lvl w:ilvl="3" w:tentative="0">
      <w:start w:val="1"/>
      <w:numFmt w:val="bullet"/>
      <w:lvlText w:val=""/>
      <w:lvlJc w:val="left"/>
      <w:pPr>
        <w:tabs>
          <w:tab w:val="left" w:pos="1680"/>
        </w:tabs>
        <w:ind w:left="1680" w:hanging="420"/>
      </w:pPr>
      <w:rPr>
        <w:rFonts w:hint="default" w:ascii="Wingdings" w:hAnsi="Wingdings"/>
      </w:rPr>
    </w:lvl>
    <w:lvl w:ilvl="4" w:tentative="0">
      <w:start w:val="1"/>
      <w:numFmt w:val="bullet"/>
      <w:lvlText w:val=""/>
      <w:lvlJc w:val="left"/>
      <w:pPr>
        <w:tabs>
          <w:tab w:val="left" w:pos="2100"/>
        </w:tabs>
        <w:ind w:left="2100" w:hanging="420"/>
      </w:pPr>
      <w:rPr>
        <w:rFonts w:hint="default" w:ascii="Wingdings" w:hAnsi="Wingdings"/>
      </w:rPr>
    </w:lvl>
    <w:lvl w:ilvl="5" w:tentative="0">
      <w:start w:val="1"/>
      <w:numFmt w:val="bullet"/>
      <w:lvlText w:val=""/>
      <w:lvlJc w:val="left"/>
      <w:pPr>
        <w:tabs>
          <w:tab w:val="left" w:pos="2520"/>
        </w:tabs>
        <w:ind w:left="2520" w:hanging="420"/>
      </w:pPr>
      <w:rPr>
        <w:rFonts w:hint="default" w:ascii="Wingdings" w:hAnsi="Wingdings"/>
      </w:rPr>
    </w:lvl>
    <w:lvl w:ilvl="6" w:tentative="0">
      <w:start w:val="1"/>
      <w:numFmt w:val="bullet"/>
      <w:lvlText w:val=""/>
      <w:lvlJc w:val="left"/>
      <w:pPr>
        <w:tabs>
          <w:tab w:val="left" w:pos="2940"/>
        </w:tabs>
        <w:ind w:left="2940" w:hanging="420"/>
      </w:pPr>
      <w:rPr>
        <w:rFonts w:hint="default" w:ascii="Wingdings" w:hAnsi="Wingdings"/>
      </w:rPr>
    </w:lvl>
    <w:lvl w:ilvl="7" w:tentative="0">
      <w:start w:val="1"/>
      <w:numFmt w:val="bullet"/>
      <w:lvlText w:val=""/>
      <w:lvlJc w:val="left"/>
      <w:pPr>
        <w:tabs>
          <w:tab w:val="left" w:pos="3360"/>
        </w:tabs>
        <w:ind w:left="3360" w:hanging="420"/>
      </w:pPr>
      <w:rPr>
        <w:rFonts w:hint="default" w:ascii="Wingdings" w:hAnsi="Wingdings"/>
      </w:rPr>
    </w:lvl>
    <w:lvl w:ilvl="8" w:tentative="0">
      <w:start w:val="1"/>
      <w:numFmt w:val="bullet"/>
      <w:lvlText w:val=""/>
      <w:lvlJc w:val="left"/>
      <w:pPr>
        <w:tabs>
          <w:tab w:val="left" w:pos="3780"/>
        </w:tabs>
        <w:ind w:left="3780" w:hanging="420"/>
      </w:pPr>
      <w:rPr>
        <w:rFonts w:hint="default" w:ascii="Wingdings" w:hAnsi="Wingdings"/>
      </w:rPr>
    </w:lvl>
  </w:abstractNum>
  <w:abstractNum w:abstractNumId="12">
    <w:nsid w:val="00000020"/>
    <w:multiLevelType w:val="multilevel"/>
    <w:tmpl w:val="00000020"/>
    <w:lvl w:ilvl="0" w:tentative="0">
      <w:start w:val="1"/>
      <w:numFmt w:val="decimal"/>
      <w:pStyle w:val="412"/>
      <w:lvlText w:val="%1、"/>
      <w:lvlJc w:val="left"/>
      <w:pPr>
        <w:tabs>
          <w:tab w:val="left" w:pos="360"/>
        </w:tabs>
        <w:ind w:left="360" w:hanging="360"/>
      </w:pPr>
      <w:rPr>
        <w:rFonts w:hint="default"/>
      </w:rPr>
    </w:lvl>
    <w:lvl w:ilvl="1" w:tentative="0">
      <w:start w:val="1"/>
      <w:numFmt w:val="lowerLetter"/>
      <w:pStyle w:val="431"/>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3">
    <w:nsid w:val="00000023"/>
    <w:multiLevelType w:val="multilevel"/>
    <w:tmpl w:val="00000023"/>
    <w:lvl w:ilvl="0" w:tentative="0">
      <w:start w:val="1"/>
      <w:numFmt w:val="none"/>
      <w:pStyle w:val="344"/>
      <w:lvlText w:val="%1式中："/>
      <w:lvlJc w:val="left"/>
      <w:pPr>
        <w:tabs>
          <w:tab w:val="left" w:pos="918"/>
        </w:tabs>
        <w:ind w:left="0" w:firstLine="198"/>
      </w:pPr>
      <w:rPr>
        <w:rFonts w:hint="eastAsia" w:ascii="宋体" w:eastAsia="宋体"/>
        <w:b w:val="0"/>
        <w:i w:val="0"/>
        <w:sz w:val="18"/>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4">
    <w:nsid w:val="00000024"/>
    <w:multiLevelType w:val="multilevel"/>
    <w:tmpl w:val="00000024"/>
    <w:lvl w:ilvl="0" w:tentative="0">
      <w:start w:val="1"/>
      <w:numFmt w:val="none"/>
      <w:pStyle w:val="347"/>
      <w:lvlText w:val="%1●　"/>
      <w:lvlJc w:val="left"/>
      <w:pPr>
        <w:tabs>
          <w:tab w:val="left" w:pos="760"/>
        </w:tabs>
        <w:ind w:left="717" w:hanging="317"/>
      </w:pPr>
      <w:rPr>
        <w:rFonts w:hint="eastAsia" w:ascii="宋体" w:hAnsi="Times New Roman" w:eastAsia="宋体"/>
        <w:b w:val="0"/>
        <w:i w:val="0"/>
        <w:position w:val="4"/>
        <w:sz w:val="13"/>
      </w:rPr>
    </w:lvl>
    <w:lvl w:ilvl="1" w:tentative="0">
      <w:start w:val="1"/>
      <w:numFmt w:val="lowerLetter"/>
      <w:lvlText w:val="%2)"/>
      <w:lvlJc w:val="left"/>
      <w:pPr>
        <w:tabs>
          <w:tab w:val="left" w:pos="780"/>
        </w:tabs>
        <w:ind w:left="780" w:hanging="360"/>
      </w:pPr>
      <w:rPr>
        <w:rFonts w:hint="eastAsia"/>
      </w:rPr>
    </w:lvl>
    <w:lvl w:ilvl="2" w:tentative="0">
      <w:start w:val="1"/>
      <w:numFmt w:val="decimal"/>
      <w:lvlText w:val="%3)"/>
      <w:lvlJc w:val="left"/>
      <w:pPr>
        <w:tabs>
          <w:tab w:val="left" w:pos="1200"/>
        </w:tabs>
        <w:ind w:left="1200" w:hanging="360"/>
      </w:pPr>
      <w:rPr>
        <w:rFonts w:hint="eastAsia"/>
      </w:r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5">
    <w:nsid w:val="00000027"/>
    <w:multiLevelType w:val="multilevel"/>
    <w:tmpl w:val="00000027"/>
    <w:lvl w:ilvl="0" w:tentative="0">
      <w:start w:val="1"/>
      <w:numFmt w:val="none"/>
      <w:suff w:val="nothing"/>
      <w:lvlText w:val="　"/>
      <w:lvlJc w:val="left"/>
      <w:pPr>
        <w:ind w:left="0" w:firstLine="0"/>
      </w:pPr>
      <w:rPr>
        <w:rFonts w:hint="eastAsia" w:ascii="黑体" w:hAnsi="Times New Roman" w:eastAsia="黑体"/>
        <w:b w:val="0"/>
        <w:i w:val="0"/>
        <w:sz w:val="21"/>
      </w:rPr>
    </w:lvl>
    <w:lvl w:ilvl="1" w:tentative="0">
      <w:start w:val="1"/>
      <w:numFmt w:val="decimal"/>
      <w:isLgl/>
      <w:suff w:val="nothing"/>
      <w:lvlText w:val="%2　"/>
      <w:lvlJc w:val="left"/>
      <w:pPr>
        <w:ind w:left="0" w:firstLine="0"/>
      </w:pPr>
      <w:rPr>
        <w:rFonts w:hint="eastAsia" w:ascii="黑体" w:hAnsi="Times New Roman" w:eastAsia="黑体"/>
        <w:b/>
        <w:i w:val="0"/>
        <w:snapToGrid/>
        <w:spacing w:val="0"/>
        <w:w w:val="100"/>
        <w:kern w:val="21"/>
        <w:sz w:val="21"/>
      </w:rPr>
    </w:lvl>
    <w:lvl w:ilvl="2" w:tentative="0">
      <w:start w:val="1"/>
      <w:numFmt w:val="decimal"/>
      <w:pStyle w:val="226"/>
      <w:suff w:val="nothing"/>
      <w:lvlText w:val="%1%2.%3　"/>
      <w:lvlJc w:val="left"/>
      <w:pPr>
        <w:ind w:left="0" w:firstLine="0"/>
      </w:pPr>
      <w:rPr>
        <w:rFonts w:hint="eastAsia" w:ascii="黑体" w:hAnsi="Times New Roman" w:eastAsia="黑体"/>
        <w:b/>
        <w:i w:val="0"/>
        <w:sz w:val="21"/>
      </w:rPr>
    </w:lvl>
    <w:lvl w:ilvl="3" w:tentative="0">
      <w:start w:val="1"/>
      <w:numFmt w:val="decimal"/>
      <w:suff w:val="nothing"/>
      <w:lvlText w:val="%1%2.%3.%4　"/>
      <w:lvlJc w:val="left"/>
      <w:pPr>
        <w:ind w:left="0" w:firstLine="0"/>
      </w:pPr>
      <w:rPr>
        <w:rFonts w:hint="eastAsia" w:ascii="黑体" w:hAnsi="Times New Roman" w:eastAsia="黑体"/>
        <w:b/>
        <w:i w:val="0"/>
        <w:sz w:val="21"/>
      </w:rPr>
    </w:lvl>
    <w:lvl w:ilvl="4" w:tentative="0">
      <w:start w:val="1"/>
      <w:numFmt w:val="decimal"/>
      <w:pStyle w:val="308"/>
      <w:suff w:val="nothing"/>
      <w:lvlText w:val="%1%2.%3.%4.%5　"/>
      <w:lvlJc w:val="left"/>
      <w:pPr>
        <w:ind w:left="0" w:firstLine="0"/>
      </w:pPr>
      <w:rPr>
        <w:rFonts w:hint="eastAsia" w:ascii="黑体" w:hAnsi="Times New Roman" w:eastAsia="黑体"/>
        <w:b/>
        <w:i w:val="0"/>
        <w:sz w:val="21"/>
      </w:rPr>
    </w:lvl>
    <w:lvl w:ilvl="5" w:tentative="0">
      <w:start w:val="1"/>
      <w:numFmt w:val="decimal"/>
      <w:pStyle w:val="444"/>
      <w:suff w:val="nothing"/>
      <w:lvlText w:val="%1%2.%3.%4.%5.%6　"/>
      <w:lvlJc w:val="left"/>
      <w:pPr>
        <w:ind w:left="0" w:firstLine="0"/>
      </w:pPr>
      <w:rPr>
        <w:rFonts w:hint="eastAsia" w:ascii="黑体" w:hAnsi="Times New Roman" w:eastAsia="黑体"/>
        <w:b/>
        <w:i w:val="0"/>
        <w:sz w:val="21"/>
      </w:rPr>
    </w:lvl>
    <w:lvl w:ilvl="6" w:tentative="0">
      <w:start w:val="1"/>
      <w:numFmt w:val="decimal"/>
      <w:pStyle w:val="370"/>
      <w:suff w:val="nothing"/>
      <w:lvlText w:val="%1%2.%3.%4.%5.%6.%7　"/>
      <w:lvlJc w:val="left"/>
      <w:pPr>
        <w:ind w:left="0" w:firstLine="0"/>
      </w:pPr>
      <w:rPr>
        <w:rFonts w:hint="eastAsia" w:ascii="黑体" w:hAnsi="Times New Roman" w:eastAsia="黑体"/>
        <w:b/>
        <w:i w:val="0"/>
        <w:sz w:val="21"/>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16">
    <w:nsid w:val="00000028"/>
    <w:multiLevelType w:val="multilevel"/>
    <w:tmpl w:val="00000028"/>
    <w:lvl w:ilvl="0" w:tentative="0">
      <w:start w:val="1"/>
      <w:numFmt w:val="none"/>
      <w:pStyle w:val="418"/>
      <w:lvlText w:val="%1——"/>
      <w:lvlJc w:val="left"/>
      <w:pPr>
        <w:tabs>
          <w:tab w:val="left" w:pos="1080"/>
        </w:tabs>
        <w:ind w:left="780" w:hanging="420"/>
      </w:pPr>
      <w:rPr>
        <w:rFonts w:hint="eastAsia"/>
        <w:color w:val="auto"/>
      </w:rPr>
    </w:lvl>
    <w:lvl w:ilvl="1" w:tentative="0">
      <w:start w:val="1"/>
      <w:numFmt w:val="lowerLetter"/>
      <w:lvlText w:val="%2)"/>
      <w:lvlJc w:val="left"/>
      <w:pPr>
        <w:tabs>
          <w:tab w:val="left" w:pos="840"/>
        </w:tabs>
        <w:ind w:left="840" w:hanging="420"/>
      </w:pPr>
    </w:lvl>
    <w:lvl w:ilvl="2" w:tentative="0">
      <w:start w:val="1"/>
      <w:numFmt w:val="lowerRoman"/>
      <w:lvlText w:val="%3."/>
      <w:lvlJc w:val="right"/>
      <w:pPr>
        <w:tabs>
          <w:tab w:val="left" w:pos="1260"/>
        </w:tabs>
        <w:ind w:left="1260" w:hanging="420"/>
      </w:pPr>
    </w:lvl>
    <w:lvl w:ilvl="3" w:tentative="0">
      <w:start w:val="1"/>
      <w:numFmt w:val="decimal"/>
      <w:lvlText w:val="%4."/>
      <w:lvlJc w:val="left"/>
      <w:pPr>
        <w:tabs>
          <w:tab w:val="left" w:pos="1680"/>
        </w:tabs>
        <w:ind w:left="1680" w:hanging="420"/>
      </w:pPr>
    </w:lvl>
    <w:lvl w:ilvl="4" w:tentative="0">
      <w:start w:val="1"/>
      <w:numFmt w:val="lowerLetter"/>
      <w:lvlText w:val="%5)"/>
      <w:lvlJc w:val="left"/>
      <w:pPr>
        <w:tabs>
          <w:tab w:val="left" w:pos="2100"/>
        </w:tabs>
        <w:ind w:left="2100" w:hanging="420"/>
      </w:pPr>
    </w:lvl>
    <w:lvl w:ilvl="5" w:tentative="0">
      <w:start w:val="1"/>
      <w:numFmt w:val="lowerRoman"/>
      <w:lvlText w:val="%6."/>
      <w:lvlJc w:val="right"/>
      <w:pPr>
        <w:tabs>
          <w:tab w:val="left" w:pos="2520"/>
        </w:tabs>
        <w:ind w:left="2520" w:hanging="420"/>
      </w:pPr>
    </w:lvl>
    <w:lvl w:ilvl="6" w:tentative="0">
      <w:start w:val="1"/>
      <w:numFmt w:val="decimal"/>
      <w:lvlText w:val="%7."/>
      <w:lvlJc w:val="left"/>
      <w:pPr>
        <w:tabs>
          <w:tab w:val="left" w:pos="2940"/>
        </w:tabs>
        <w:ind w:left="2940" w:hanging="420"/>
      </w:pPr>
    </w:lvl>
    <w:lvl w:ilvl="7" w:tentative="0">
      <w:start w:val="1"/>
      <w:numFmt w:val="lowerLetter"/>
      <w:lvlText w:val="%8)"/>
      <w:lvlJc w:val="left"/>
      <w:pPr>
        <w:tabs>
          <w:tab w:val="left" w:pos="3360"/>
        </w:tabs>
        <w:ind w:left="3360" w:hanging="420"/>
      </w:pPr>
    </w:lvl>
    <w:lvl w:ilvl="8" w:tentative="0">
      <w:start w:val="1"/>
      <w:numFmt w:val="lowerRoman"/>
      <w:lvlText w:val="%9."/>
      <w:lvlJc w:val="right"/>
      <w:pPr>
        <w:tabs>
          <w:tab w:val="left" w:pos="3780"/>
        </w:tabs>
        <w:ind w:left="3780" w:hanging="420"/>
      </w:pPr>
    </w:lvl>
  </w:abstractNum>
  <w:abstractNum w:abstractNumId="17">
    <w:nsid w:val="09AC4E5B"/>
    <w:multiLevelType w:val="multilevel"/>
    <w:tmpl w:val="09AC4E5B"/>
    <w:lvl w:ilvl="0" w:tentative="0">
      <w:start w:val="1"/>
      <w:numFmt w:val="lowerLetter"/>
      <w:lvlText w:val="%1)"/>
      <w:lvlJc w:val="left"/>
      <w:pPr>
        <w:ind w:left="862" w:hanging="442"/>
      </w:pPr>
      <w:rPr>
        <w:rFonts w:hint="eastAsia"/>
      </w:rPr>
    </w:lvl>
    <w:lvl w:ilvl="1" w:tentative="0">
      <w:start w:val="1"/>
      <w:numFmt w:val="lowerLetter"/>
      <w:lvlText w:val="%2)"/>
      <w:lvlJc w:val="left"/>
      <w:pPr>
        <w:ind w:left="1510" w:hanging="440"/>
      </w:pPr>
    </w:lvl>
    <w:lvl w:ilvl="2" w:tentative="0">
      <w:start w:val="1"/>
      <w:numFmt w:val="lowerRoman"/>
      <w:lvlText w:val="%3."/>
      <w:lvlJc w:val="right"/>
      <w:pPr>
        <w:ind w:left="1950" w:hanging="440"/>
      </w:pPr>
    </w:lvl>
    <w:lvl w:ilvl="3" w:tentative="0">
      <w:start w:val="1"/>
      <w:numFmt w:val="decimal"/>
      <w:lvlText w:val="%4."/>
      <w:lvlJc w:val="left"/>
      <w:pPr>
        <w:ind w:left="2390" w:hanging="440"/>
      </w:pPr>
    </w:lvl>
    <w:lvl w:ilvl="4" w:tentative="0">
      <w:start w:val="1"/>
      <w:numFmt w:val="lowerLetter"/>
      <w:lvlText w:val="%5)"/>
      <w:lvlJc w:val="left"/>
      <w:pPr>
        <w:ind w:left="2830" w:hanging="440"/>
      </w:pPr>
    </w:lvl>
    <w:lvl w:ilvl="5" w:tentative="0">
      <w:start w:val="1"/>
      <w:numFmt w:val="lowerRoman"/>
      <w:lvlText w:val="%6."/>
      <w:lvlJc w:val="right"/>
      <w:pPr>
        <w:ind w:left="3270" w:hanging="440"/>
      </w:pPr>
    </w:lvl>
    <w:lvl w:ilvl="6" w:tentative="0">
      <w:start w:val="1"/>
      <w:numFmt w:val="decimal"/>
      <w:lvlText w:val="%7."/>
      <w:lvlJc w:val="left"/>
      <w:pPr>
        <w:ind w:left="3710" w:hanging="440"/>
      </w:pPr>
    </w:lvl>
    <w:lvl w:ilvl="7" w:tentative="0">
      <w:start w:val="1"/>
      <w:numFmt w:val="lowerLetter"/>
      <w:lvlText w:val="%8)"/>
      <w:lvlJc w:val="left"/>
      <w:pPr>
        <w:ind w:left="4150" w:hanging="440"/>
      </w:pPr>
    </w:lvl>
    <w:lvl w:ilvl="8" w:tentative="0">
      <w:start w:val="1"/>
      <w:numFmt w:val="lowerRoman"/>
      <w:lvlText w:val="%9."/>
      <w:lvlJc w:val="right"/>
      <w:pPr>
        <w:ind w:left="4590" w:hanging="440"/>
      </w:pPr>
    </w:lvl>
  </w:abstractNum>
  <w:abstractNum w:abstractNumId="18">
    <w:nsid w:val="4CF51789"/>
    <w:multiLevelType w:val="multilevel"/>
    <w:tmpl w:val="4CF51789"/>
    <w:lvl w:ilvl="0" w:tentative="0">
      <w:start w:val="1"/>
      <w:numFmt w:val="decimal"/>
      <w:pStyle w:val="317"/>
      <w:lvlText w:val="%1."/>
      <w:lvlJc w:val="left"/>
      <w:pPr>
        <w:ind w:left="440" w:hanging="440"/>
      </w:pPr>
      <w:rPr>
        <w:rFonts w:hint="eastAsia"/>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19">
    <w:nsid w:val="52ED13B1"/>
    <w:multiLevelType w:val="multilevel"/>
    <w:tmpl w:val="52ED13B1"/>
    <w:lvl w:ilvl="0" w:tentative="0">
      <w:start w:val="1"/>
      <w:numFmt w:val="lowerLetter"/>
      <w:lvlText w:val="%1)"/>
      <w:lvlJc w:val="left"/>
      <w:pPr>
        <w:ind w:left="859" w:hanging="440"/>
      </w:pPr>
      <w:rPr>
        <w:rFonts w:hint="default"/>
        <w:b w:val="0"/>
        <w:bCs w:val="0"/>
      </w:rPr>
    </w:lvl>
    <w:lvl w:ilvl="1" w:tentative="0">
      <w:start w:val="1"/>
      <w:numFmt w:val="lowerLetter"/>
      <w:lvlText w:val="%2)"/>
      <w:lvlJc w:val="left"/>
      <w:pPr>
        <w:ind w:left="1299" w:hanging="440"/>
      </w:pPr>
    </w:lvl>
    <w:lvl w:ilvl="2" w:tentative="0">
      <w:start w:val="1"/>
      <w:numFmt w:val="lowerRoman"/>
      <w:lvlText w:val="%3."/>
      <w:lvlJc w:val="right"/>
      <w:pPr>
        <w:ind w:left="1739" w:hanging="440"/>
      </w:pPr>
    </w:lvl>
    <w:lvl w:ilvl="3" w:tentative="0">
      <w:start w:val="1"/>
      <w:numFmt w:val="decimal"/>
      <w:lvlText w:val="%4."/>
      <w:lvlJc w:val="left"/>
      <w:pPr>
        <w:ind w:left="2179" w:hanging="440"/>
      </w:pPr>
    </w:lvl>
    <w:lvl w:ilvl="4" w:tentative="0">
      <w:start w:val="1"/>
      <w:numFmt w:val="lowerLetter"/>
      <w:lvlText w:val="%5)"/>
      <w:lvlJc w:val="left"/>
      <w:pPr>
        <w:ind w:left="2619" w:hanging="440"/>
      </w:pPr>
    </w:lvl>
    <w:lvl w:ilvl="5" w:tentative="0">
      <w:start w:val="1"/>
      <w:numFmt w:val="lowerRoman"/>
      <w:lvlText w:val="%6."/>
      <w:lvlJc w:val="right"/>
      <w:pPr>
        <w:ind w:left="3059" w:hanging="440"/>
      </w:pPr>
    </w:lvl>
    <w:lvl w:ilvl="6" w:tentative="0">
      <w:start w:val="1"/>
      <w:numFmt w:val="decimal"/>
      <w:lvlText w:val="%7."/>
      <w:lvlJc w:val="left"/>
      <w:pPr>
        <w:ind w:left="3499" w:hanging="440"/>
      </w:pPr>
    </w:lvl>
    <w:lvl w:ilvl="7" w:tentative="0">
      <w:start w:val="1"/>
      <w:numFmt w:val="lowerLetter"/>
      <w:lvlText w:val="%8)"/>
      <w:lvlJc w:val="left"/>
      <w:pPr>
        <w:ind w:left="3939" w:hanging="440"/>
      </w:pPr>
    </w:lvl>
    <w:lvl w:ilvl="8" w:tentative="0">
      <w:start w:val="1"/>
      <w:numFmt w:val="lowerRoman"/>
      <w:lvlText w:val="%9."/>
      <w:lvlJc w:val="right"/>
      <w:pPr>
        <w:ind w:left="4379" w:hanging="440"/>
      </w:pPr>
    </w:lvl>
  </w:abstractNum>
  <w:abstractNum w:abstractNumId="20">
    <w:nsid w:val="5603797C"/>
    <w:multiLevelType w:val="multilevel"/>
    <w:tmpl w:val="5603797C"/>
    <w:lvl w:ilvl="0" w:tentative="0">
      <w:start w:val="1"/>
      <w:numFmt w:val="upperLetter"/>
      <w:pStyle w:val="260"/>
      <w:suff w:val="space"/>
      <w:lvlText w:val="%1"/>
      <w:lvlJc w:val="left"/>
      <w:pPr>
        <w:ind w:left="425" w:hanging="425"/>
      </w:pPr>
      <w:rPr>
        <w:rFonts w:hint="eastAsia"/>
      </w:rPr>
    </w:lvl>
    <w:lvl w:ilvl="1" w:tentative="0">
      <w:start w:val="1"/>
      <w:numFmt w:val="decimal"/>
      <w:pStyle w:val="281"/>
      <w:suff w:val="space"/>
      <w:lvlText w:val="表%1.%2"/>
      <w:lvlJc w:val="center"/>
      <w:pPr>
        <w:ind w:left="0" w:firstLine="0"/>
      </w:pPr>
      <w:rPr>
        <w:rFonts w:hint="eastAsia" w:ascii="黑体" w:eastAsia="黑体"/>
        <w:sz w:val="21"/>
      </w:rPr>
    </w:lvl>
    <w:lvl w:ilvl="2" w:tentative="0">
      <w:start w:val="1"/>
      <w:numFmt w:val="decimal"/>
      <w:lvlText w:val="%1.%2.%3"/>
      <w:lvlJc w:val="left"/>
      <w:pPr>
        <w:ind w:left="1418" w:hanging="567"/>
      </w:pPr>
      <w:rPr>
        <w:rFonts w:hint="eastAsia"/>
      </w:rPr>
    </w:lvl>
    <w:lvl w:ilvl="3" w:tentative="0">
      <w:start w:val="1"/>
      <w:numFmt w:val="decimal"/>
      <w:lvlText w:val="%1.%2.%3.%4"/>
      <w:lvlJc w:val="left"/>
      <w:pPr>
        <w:ind w:left="1984" w:hanging="708"/>
      </w:pPr>
      <w:rPr>
        <w:rFonts w:hint="eastAsia"/>
      </w:rPr>
    </w:lvl>
    <w:lvl w:ilvl="4" w:tentative="0">
      <w:start w:val="1"/>
      <w:numFmt w:val="decimal"/>
      <w:lvlText w:val="%1.%2.%3.%4.%5"/>
      <w:lvlJc w:val="left"/>
      <w:pPr>
        <w:ind w:left="2551" w:hanging="850"/>
      </w:pPr>
      <w:rPr>
        <w:rFonts w:hint="eastAsia"/>
      </w:rPr>
    </w:lvl>
    <w:lvl w:ilvl="5" w:tentative="0">
      <w:start w:val="1"/>
      <w:numFmt w:val="decimal"/>
      <w:lvlText w:val="%1.%2.%3.%4.%5.%6"/>
      <w:lvlJc w:val="left"/>
      <w:pPr>
        <w:ind w:left="3260" w:hanging="1134"/>
      </w:pPr>
      <w:rPr>
        <w:rFonts w:hint="eastAsia"/>
      </w:rPr>
    </w:lvl>
    <w:lvl w:ilvl="6" w:tentative="0">
      <w:start w:val="1"/>
      <w:numFmt w:val="decimal"/>
      <w:lvlText w:val="%1.%2.%3.%4.%5.%6.%7"/>
      <w:lvlJc w:val="left"/>
      <w:pPr>
        <w:ind w:left="3827" w:hanging="1276"/>
      </w:pPr>
      <w:rPr>
        <w:rFonts w:hint="eastAsia"/>
      </w:rPr>
    </w:lvl>
    <w:lvl w:ilvl="7" w:tentative="0">
      <w:start w:val="1"/>
      <w:numFmt w:val="decimal"/>
      <w:lvlText w:val="%1.%2.%3.%4.%5.%6.%7.%8"/>
      <w:lvlJc w:val="left"/>
      <w:pPr>
        <w:ind w:left="4394" w:hanging="1418"/>
      </w:pPr>
      <w:rPr>
        <w:rFonts w:hint="eastAsia"/>
      </w:rPr>
    </w:lvl>
    <w:lvl w:ilvl="8" w:tentative="0">
      <w:start w:val="1"/>
      <w:numFmt w:val="decimal"/>
      <w:lvlText w:val="%1.%2.%3.%4.%5.%6.%7.%8.%9"/>
      <w:lvlJc w:val="left"/>
      <w:pPr>
        <w:ind w:left="5102" w:hanging="1700"/>
      </w:pPr>
      <w:rPr>
        <w:rFonts w:hint="eastAsia"/>
      </w:rPr>
    </w:lvl>
  </w:abstractNum>
  <w:abstractNum w:abstractNumId="21">
    <w:nsid w:val="66EBD3C9"/>
    <w:multiLevelType w:val="multilevel"/>
    <w:tmpl w:val="66EBD3C9"/>
    <w:lvl w:ilvl="0" w:tentative="0">
      <w:start w:val="1"/>
      <w:numFmt w:val="none"/>
      <w:suff w:val="nothing"/>
      <w:lvlText w:val="%1"/>
      <w:lvlJc w:val="left"/>
      <w:pPr>
        <w:tabs>
          <w:tab w:val="left" w:pos="0"/>
        </w:tabs>
        <w:ind w:left="0" w:firstLine="0"/>
      </w:pPr>
    </w:lvl>
    <w:lvl w:ilvl="1" w:tentative="0">
      <w:start w:val="1"/>
      <w:numFmt w:val="decimal"/>
      <w:suff w:val="nothing"/>
      <w:lvlText w:val="%1%2　"/>
      <w:lvlJc w:val="left"/>
      <w:pPr>
        <w:tabs>
          <w:tab w:val="left" w:pos="0"/>
        </w:tabs>
        <w:ind w:left="0" w:firstLine="0"/>
      </w:pPr>
      <w:rPr>
        <w:rFonts w:hint="eastAsia" w:ascii="黑体" w:hAnsi="Times New Roman" w:eastAsia="黑体" w:cs="黑体"/>
        <w:b w:val="0"/>
        <w:sz w:val="21"/>
      </w:rPr>
    </w:lvl>
    <w:lvl w:ilvl="2" w:tentative="0">
      <w:start w:val="1"/>
      <w:numFmt w:val="decimal"/>
      <w:pStyle w:val="253"/>
      <w:suff w:val="nothing"/>
      <w:lvlText w:val="%1%2.%3　"/>
      <w:lvlJc w:val="left"/>
      <w:pPr>
        <w:tabs>
          <w:tab w:val="left" w:pos="0"/>
        </w:tabs>
        <w:ind w:left="0" w:firstLine="0"/>
      </w:pPr>
      <w:rPr>
        <w:rFonts w:hint="eastAsia" w:ascii="黑体" w:hAnsi="Times New Roman" w:eastAsia="黑体" w:cs="Times New Roman"/>
        <w:b w:val="0"/>
        <w:bCs w:val="0"/>
        <w:iCs w:val="0"/>
        <w:caps w:val="0"/>
        <w:strike w:val="0"/>
        <w:dstrike w:val="0"/>
        <w:vanish w:val="0"/>
        <w:color w:val="000000"/>
        <w:spacing w:val="0"/>
        <w:kern w:val="0"/>
        <w:position w:val="0"/>
        <w:sz w:val="21"/>
        <w:u w:val="none"/>
      </w:rPr>
    </w:lvl>
    <w:lvl w:ilvl="3" w:tentative="0">
      <w:start w:val="1"/>
      <w:numFmt w:val="decimal"/>
      <w:pStyle w:val="222"/>
      <w:suff w:val="nothing"/>
      <w:lvlText w:val="%1%2.%3.%4　"/>
      <w:lvlJc w:val="left"/>
      <w:pPr>
        <w:tabs>
          <w:tab w:val="left" w:pos="0"/>
        </w:tabs>
        <w:ind w:left="426" w:firstLine="0"/>
      </w:pPr>
      <w:rPr>
        <w:rFonts w:hint="eastAsia" w:ascii="黑体" w:hAnsi="Times New Roman" w:eastAsia="黑体" w:cs="黑体"/>
        <w:b w:val="0"/>
        <w:sz w:val="21"/>
      </w:rPr>
    </w:lvl>
    <w:lvl w:ilvl="4" w:tentative="0">
      <w:start w:val="1"/>
      <w:numFmt w:val="decimal"/>
      <w:pStyle w:val="419"/>
      <w:suff w:val="nothing"/>
      <w:lvlText w:val="%1%2.%3.%4.%5　"/>
      <w:lvlJc w:val="left"/>
      <w:pPr>
        <w:tabs>
          <w:tab w:val="left" w:pos="0"/>
        </w:tabs>
        <w:ind w:left="992" w:firstLine="0"/>
      </w:pPr>
      <w:rPr>
        <w:rFonts w:hint="eastAsia" w:ascii="黑体" w:hAnsi="Times New Roman" w:eastAsia="黑体" w:cs="黑体"/>
        <w:b w:val="0"/>
        <w:sz w:val="21"/>
      </w:rPr>
    </w:lvl>
    <w:lvl w:ilvl="5" w:tentative="0">
      <w:start w:val="1"/>
      <w:numFmt w:val="decimal"/>
      <w:suff w:val="nothing"/>
      <w:lvlText w:val="%1%2.%3.%4.%5.%6　"/>
      <w:lvlJc w:val="left"/>
      <w:pPr>
        <w:tabs>
          <w:tab w:val="left" w:pos="0"/>
        </w:tabs>
        <w:ind w:left="0" w:firstLine="0"/>
      </w:pPr>
      <w:rPr>
        <w:rFonts w:hint="eastAsia" w:ascii="黑体" w:hAnsi="Times New Roman" w:eastAsia="黑体" w:cs="黑体"/>
        <w:b w:val="0"/>
        <w:sz w:val="21"/>
      </w:rPr>
    </w:lvl>
    <w:lvl w:ilvl="6" w:tentative="0">
      <w:start w:val="1"/>
      <w:numFmt w:val="decimal"/>
      <w:suff w:val="nothing"/>
      <w:lvlText w:val="%1%2.%3.%4.%5.%6.%7　"/>
      <w:lvlJc w:val="left"/>
      <w:pPr>
        <w:tabs>
          <w:tab w:val="left" w:pos="0"/>
        </w:tabs>
        <w:ind w:left="0" w:firstLine="0"/>
      </w:pPr>
      <w:rPr>
        <w:rFonts w:hint="eastAsia" w:ascii="黑体" w:hAnsi="Times New Roman" w:eastAsia="黑体" w:cs="黑体"/>
        <w:b w:val="0"/>
        <w:sz w:val="21"/>
      </w:rPr>
    </w:lvl>
    <w:lvl w:ilvl="7" w:tentative="0">
      <w:start w:val="1"/>
      <w:numFmt w:val="decimal"/>
      <w:lvlText w:val="%1.%2.%3.%4.%5.%6.%7.%8"/>
      <w:lvlJc w:val="left"/>
      <w:pPr>
        <w:tabs>
          <w:tab w:val="left" w:pos="4351"/>
        </w:tabs>
        <w:ind w:left="3972" w:hanging="1418"/>
      </w:pPr>
    </w:lvl>
    <w:lvl w:ilvl="8" w:tentative="0">
      <w:start w:val="1"/>
      <w:numFmt w:val="decimal"/>
      <w:lvlText w:val="%1.%2.%3.%4.%5.%6.%7.%8.%9"/>
      <w:lvlJc w:val="left"/>
      <w:pPr>
        <w:tabs>
          <w:tab w:val="left" w:pos="4777"/>
        </w:tabs>
        <w:ind w:left="4677" w:hanging="1700"/>
      </w:pPr>
    </w:lvl>
  </w:abstractNum>
  <w:abstractNum w:abstractNumId="22">
    <w:nsid w:val="66EBEB6D"/>
    <w:multiLevelType w:val="multilevel"/>
    <w:tmpl w:val="66EBEB6D"/>
    <w:lvl w:ilvl="0" w:tentative="0">
      <w:start w:val="1"/>
      <w:numFmt w:val="decimal"/>
      <w:lvlText w:val="%1."/>
      <w:lvlJc w:val="left"/>
      <w:pPr>
        <w:ind w:left="425" w:hanging="425"/>
      </w:pPr>
      <w:rPr>
        <w:rFonts w:hint="default"/>
      </w:rPr>
    </w:lvl>
    <w:lvl w:ilvl="1" w:tentative="0">
      <w:start w:val="1"/>
      <w:numFmt w:val="decimal"/>
      <w:pStyle w:val="2"/>
      <w:isLgl/>
      <w:lvlText w:val="%1.%2."/>
      <w:lvlJc w:val="left"/>
      <w:pPr>
        <w:ind w:left="567" w:hanging="567"/>
      </w:pPr>
      <w:rPr>
        <w:rFonts w:hint="default" w:ascii="宋体" w:hAnsi="宋体" w:eastAsia="宋体" w:cs="宋体"/>
      </w:rPr>
    </w:lvl>
    <w:lvl w:ilvl="2" w:tentative="0">
      <w:start w:val="1"/>
      <w:numFmt w:val="decimal"/>
      <w:lvlText w:val="%1.%2.%3."/>
      <w:lvlJc w:val="left"/>
      <w:pPr>
        <w:ind w:left="709" w:hanging="709"/>
      </w:pPr>
      <w:rPr>
        <w:rFonts w:hint="default"/>
      </w:rPr>
    </w:lvl>
    <w:lvl w:ilvl="3" w:tentative="0">
      <w:start w:val="1"/>
      <w:numFmt w:val="decimal"/>
      <w:lvlText w:val="%1.%2.%3.%4."/>
      <w:lvlJc w:val="left"/>
      <w:pPr>
        <w:ind w:left="850" w:hanging="850"/>
      </w:pPr>
      <w:rPr>
        <w:rFonts w:hint="default"/>
      </w:rPr>
    </w:lvl>
    <w:lvl w:ilvl="4" w:tentative="0">
      <w:start w:val="1"/>
      <w:numFmt w:val="decimal"/>
      <w:lvlText w:val="%1.%2.%3.%4.%5."/>
      <w:lvlJc w:val="left"/>
      <w:pPr>
        <w:ind w:left="991" w:hanging="991"/>
      </w:pPr>
      <w:rPr>
        <w:rFonts w:hint="default"/>
      </w:rPr>
    </w:lvl>
    <w:lvl w:ilvl="5" w:tentative="0">
      <w:start w:val="1"/>
      <w:numFmt w:val="decimal"/>
      <w:lvlText w:val="%1.%2.%3.%4.%5.%6."/>
      <w:lvlJc w:val="left"/>
      <w:pPr>
        <w:ind w:left="1134" w:hanging="1134"/>
      </w:pPr>
      <w:rPr>
        <w:rFonts w:hint="default"/>
      </w:rPr>
    </w:lvl>
    <w:lvl w:ilvl="6" w:tentative="0">
      <w:start w:val="1"/>
      <w:numFmt w:val="decimal"/>
      <w:lvlText w:val="%1.%2.%3.%4.%5.%6.%7."/>
      <w:lvlJc w:val="left"/>
      <w:pPr>
        <w:ind w:left="1275" w:hanging="1275"/>
      </w:pPr>
      <w:rPr>
        <w:rFonts w:hint="default"/>
      </w:rPr>
    </w:lvl>
    <w:lvl w:ilvl="7" w:tentative="0">
      <w:start w:val="1"/>
      <w:numFmt w:val="decimal"/>
      <w:lvlText w:val="%1.%2.%3.%4.%5.%6.%7.%8."/>
      <w:lvlJc w:val="left"/>
      <w:pPr>
        <w:ind w:left="1418" w:hanging="1418"/>
      </w:pPr>
      <w:rPr>
        <w:rFonts w:hint="default"/>
      </w:rPr>
    </w:lvl>
    <w:lvl w:ilvl="8" w:tentative="0">
      <w:start w:val="1"/>
      <w:numFmt w:val="decimal"/>
      <w:lvlText w:val="%1.%2.%3.%4.%5.%6.%7.%8.%9."/>
      <w:lvlJc w:val="left"/>
      <w:pPr>
        <w:ind w:left="1558" w:hanging="1558"/>
      </w:pPr>
      <w:rPr>
        <w:rFonts w:hint="default"/>
      </w:rPr>
    </w:lvl>
  </w:abstractNum>
  <w:abstractNum w:abstractNumId="23">
    <w:nsid w:val="6795002A"/>
    <w:multiLevelType w:val="multilevel"/>
    <w:tmpl w:val="6795002A"/>
    <w:lvl w:ilvl="0" w:tentative="0">
      <w:start w:val="1"/>
      <w:numFmt w:val="lowerLetter"/>
      <w:lvlText w:val="%1)"/>
      <w:lvlJc w:val="left"/>
      <w:pPr>
        <w:ind w:left="862" w:hanging="442"/>
      </w:pPr>
      <w:rPr>
        <w:rFonts w:hint="eastAsia"/>
      </w:rPr>
    </w:lvl>
    <w:lvl w:ilvl="1" w:tentative="0">
      <w:start w:val="1"/>
      <w:numFmt w:val="lowerLetter"/>
      <w:lvlText w:val="%2)"/>
      <w:lvlJc w:val="left"/>
      <w:pPr>
        <w:ind w:left="1510" w:hanging="440"/>
      </w:pPr>
    </w:lvl>
    <w:lvl w:ilvl="2" w:tentative="0">
      <w:start w:val="1"/>
      <w:numFmt w:val="lowerRoman"/>
      <w:lvlText w:val="%3."/>
      <w:lvlJc w:val="right"/>
      <w:pPr>
        <w:ind w:left="1950" w:hanging="440"/>
      </w:pPr>
    </w:lvl>
    <w:lvl w:ilvl="3" w:tentative="0">
      <w:start w:val="1"/>
      <w:numFmt w:val="decimal"/>
      <w:lvlText w:val="%4."/>
      <w:lvlJc w:val="left"/>
      <w:pPr>
        <w:ind w:left="2390" w:hanging="440"/>
      </w:pPr>
    </w:lvl>
    <w:lvl w:ilvl="4" w:tentative="0">
      <w:start w:val="1"/>
      <w:numFmt w:val="lowerLetter"/>
      <w:lvlText w:val="%5)"/>
      <w:lvlJc w:val="left"/>
      <w:pPr>
        <w:ind w:left="2830" w:hanging="440"/>
      </w:pPr>
    </w:lvl>
    <w:lvl w:ilvl="5" w:tentative="0">
      <w:start w:val="1"/>
      <w:numFmt w:val="lowerRoman"/>
      <w:lvlText w:val="%6."/>
      <w:lvlJc w:val="right"/>
      <w:pPr>
        <w:ind w:left="3270" w:hanging="440"/>
      </w:pPr>
    </w:lvl>
    <w:lvl w:ilvl="6" w:tentative="0">
      <w:start w:val="1"/>
      <w:numFmt w:val="decimal"/>
      <w:lvlText w:val="%7."/>
      <w:lvlJc w:val="left"/>
      <w:pPr>
        <w:ind w:left="3710" w:hanging="440"/>
      </w:pPr>
    </w:lvl>
    <w:lvl w:ilvl="7" w:tentative="0">
      <w:start w:val="1"/>
      <w:numFmt w:val="lowerLetter"/>
      <w:lvlText w:val="%8)"/>
      <w:lvlJc w:val="left"/>
      <w:pPr>
        <w:ind w:left="4150" w:hanging="440"/>
      </w:pPr>
    </w:lvl>
    <w:lvl w:ilvl="8" w:tentative="0">
      <w:start w:val="1"/>
      <w:numFmt w:val="lowerRoman"/>
      <w:lvlText w:val="%9."/>
      <w:lvlJc w:val="right"/>
      <w:pPr>
        <w:ind w:left="4590" w:hanging="440"/>
      </w:pPr>
    </w:lvl>
  </w:abstractNum>
  <w:abstractNum w:abstractNumId="24">
    <w:nsid w:val="6950F431"/>
    <w:multiLevelType w:val="singleLevel"/>
    <w:tmpl w:val="6950F431"/>
    <w:lvl w:ilvl="0" w:tentative="0">
      <w:start w:val="1"/>
      <w:numFmt w:val="decimal"/>
      <w:lvlText w:val="%1)"/>
      <w:lvlJc w:val="left"/>
      <w:pPr>
        <w:ind w:left="425" w:hanging="425"/>
      </w:pPr>
      <w:rPr>
        <w:rFonts w:hint="default"/>
      </w:rPr>
    </w:lvl>
  </w:abstractNum>
  <w:abstractNum w:abstractNumId="25">
    <w:nsid w:val="6B59747A"/>
    <w:multiLevelType w:val="multilevel"/>
    <w:tmpl w:val="6B59747A"/>
    <w:lvl w:ilvl="0" w:tentative="0">
      <w:start w:val="1"/>
      <w:numFmt w:val="decimal"/>
      <w:pStyle w:val="238"/>
      <w:lvlText w:val="%1."/>
      <w:lvlJc w:val="left"/>
      <w:pPr>
        <w:ind w:left="440" w:hanging="440"/>
      </w:pPr>
      <w:rPr>
        <w:rFonts w:hint="eastAsia"/>
      </w:rPr>
    </w:lvl>
    <w:lvl w:ilvl="1" w:tentative="0">
      <w:start w:val="1"/>
      <w:numFmt w:val="lowerLetter"/>
      <w:lvlText w:val="%2)"/>
      <w:lvlJc w:val="left"/>
      <w:pPr>
        <w:ind w:left="880" w:hanging="440"/>
      </w:pPr>
    </w:lvl>
    <w:lvl w:ilvl="2" w:tentative="0">
      <w:start w:val="1"/>
      <w:numFmt w:val="lowerRoman"/>
      <w:lvlText w:val="%3."/>
      <w:lvlJc w:val="right"/>
      <w:pPr>
        <w:ind w:left="1320" w:hanging="440"/>
      </w:pPr>
    </w:lvl>
    <w:lvl w:ilvl="3" w:tentative="0">
      <w:start w:val="1"/>
      <w:numFmt w:val="decimal"/>
      <w:lvlText w:val="%4."/>
      <w:lvlJc w:val="left"/>
      <w:pPr>
        <w:ind w:left="1760" w:hanging="440"/>
      </w:pPr>
    </w:lvl>
    <w:lvl w:ilvl="4" w:tentative="0">
      <w:start w:val="1"/>
      <w:numFmt w:val="lowerLetter"/>
      <w:lvlText w:val="%5)"/>
      <w:lvlJc w:val="left"/>
      <w:pPr>
        <w:ind w:left="2200" w:hanging="440"/>
      </w:pPr>
    </w:lvl>
    <w:lvl w:ilvl="5" w:tentative="0">
      <w:start w:val="1"/>
      <w:numFmt w:val="lowerRoman"/>
      <w:lvlText w:val="%6."/>
      <w:lvlJc w:val="right"/>
      <w:pPr>
        <w:ind w:left="2640" w:hanging="440"/>
      </w:pPr>
    </w:lvl>
    <w:lvl w:ilvl="6" w:tentative="0">
      <w:start w:val="1"/>
      <w:numFmt w:val="decimal"/>
      <w:lvlText w:val="%7."/>
      <w:lvlJc w:val="left"/>
      <w:pPr>
        <w:ind w:left="3080" w:hanging="440"/>
      </w:pPr>
    </w:lvl>
    <w:lvl w:ilvl="7" w:tentative="0">
      <w:start w:val="1"/>
      <w:numFmt w:val="lowerLetter"/>
      <w:lvlText w:val="%8)"/>
      <w:lvlJc w:val="left"/>
      <w:pPr>
        <w:ind w:left="3520" w:hanging="440"/>
      </w:pPr>
    </w:lvl>
    <w:lvl w:ilvl="8" w:tentative="0">
      <w:start w:val="1"/>
      <w:numFmt w:val="lowerRoman"/>
      <w:lvlText w:val="%9."/>
      <w:lvlJc w:val="right"/>
      <w:pPr>
        <w:ind w:left="3960" w:hanging="440"/>
      </w:pPr>
    </w:lvl>
  </w:abstractNum>
  <w:abstractNum w:abstractNumId="26">
    <w:nsid w:val="758CBD6D"/>
    <w:multiLevelType w:val="multilevel"/>
    <w:tmpl w:val="758CBD6D"/>
    <w:lvl w:ilvl="0" w:tentative="0">
      <w:start w:val="1"/>
      <w:numFmt w:val="decimal"/>
      <w:suff w:val="nothing"/>
      <w:lvlText w:val="%1　"/>
      <w:lvlJc w:val="left"/>
      <w:pPr>
        <w:tabs>
          <w:tab w:val="left" w:pos="0"/>
        </w:tabs>
        <w:ind w:left="0" w:firstLine="0"/>
      </w:pPr>
      <w:rPr>
        <w:rFonts w:hint="default"/>
        <w:b w:val="0"/>
        <w:i w:val="0"/>
        <w:sz w:val="21"/>
        <w:szCs w:val="21"/>
      </w:rPr>
    </w:lvl>
    <w:lvl w:ilvl="1" w:tentative="0">
      <w:start w:val="1"/>
      <w:numFmt w:val="decimal"/>
      <w:suff w:val="nothing"/>
      <w:lvlText w:val="%1.%2　"/>
      <w:lvlJc w:val="left"/>
      <w:pPr>
        <w:ind w:left="0" w:firstLine="0"/>
      </w:pPr>
      <w:rPr>
        <w:rFonts w:hint="eastAsia" w:ascii="黑体" w:hAnsi="Times New Roman" w:eastAsia="黑体" w:cs="Times New Roman"/>
        <w:b w:val="0"/>
        <w:bCs w:val="0"/>
        <w:i w:val="0"/>
        <w:iCs w:val="0"/>
        <w:caps w:val="0"/>
        <w:strike w:val="0"/>
        <w:dstrike w:val="0"/>
        <w:outline w:val="0"/>
        <w:shadow w:val="0"/>
        <w:emboss w:val="0"/>
        <w:imprint w:val="0"/>
        <w:vanish w:val="0"/>
        <w:spacing w:val="0"/>
        <w:kern w:val="0"/>
        <w:position w:val="0"/>
        <w:sz w:val="21"/>
        <w:szCs w:val="21"/>
        <w:u w:val="none"/>
        <w:vertAlign w:val="baseline"/>
      </w:rPr>
    </w:lvl>
    <w:lvl w:ilvl="2" w:tentative="0">
      <w:start w:val="1"/>
      <w:numFmt w:val="decimal"/>
      <w:suff w:val="nothing"/>
      <w:lvlText w:val="%1.%2.%3　"/>
      <w:lvlJc w:val="left"/>
      <w:pPr>
        <w:ind w:left="0" w:firstLine="0"/>
      </w:pPr>
      <w:rPr>
        <w:rFonts w:hint="eastAsia" w:ascii="黑体" w:hAnsi="Times New Roman" w:eastAsia="黑体"/>
        <w:b w:val="0"/>
        <w:i w:val="0"/>
        <w:sz w:val="21"/>
      </w:rPr>
    </w:lvl>
    <w:lvl w:ilvl="3" w:tentative="0">
      <w:start w:val="1"/>
      <w:numFmt w:val="decimal"/>
      <w:suff w:val="nothing"/>
      <w:lvlText w:val="%1.%2.%3.%4　"/>
      <w:lvlJc w:val="left"/>
      <w:pPr>
        <w:ind w:left="425" w:firstLine="0"/>
      </w:pPr>
      <w:rPr>
        <w:rFonts w:hint="eastAsia" w:ascii="黑体" w:hAnsi="Times New Roman" w:eastAsia="黑体"/>
        <w:b w:val="0"/>
        <w:i w:val="0"/>
        <w:sz w:val="21"/>
      </w:rPr>
    </w:lvl>
    <w:lvl w:ilvl="4" w:tentative="0">
      <w:start w:val="1"/>
      <w:numFmt w:val="decimal"/>
      <w:suff w:val="nothing"/>
      <w:lvlText w:val="%1.%2.%3.%4.%5　"/>
      <w:lvlJc w:val="left"/>
      <w:pPr>
        <w:ind w:left="425" w:firstLine="0"/>
      </w:pPr>
      <w:rPr>
        <w:rFonts w:hint="eastAsia" w:ascii="黑体" w:hAnsi="Times New Roman" w:eastAsia="黑体"/>
        <w:b w:val="0"/>
        <w:i w:val="0"/>
        <w:sz w:val="21"/>
      </w:rPr>
    </w:lvl>
    <w:lvl w:ilvl="5" w:tentative="0">
      <w:start w:val="1"/>
      <w:numFmt w:val="decimal"/>
      <w:suff w:val="nothing"/>
      <w:lvlText w:val="%1.%2.%3.%4.%5.%6　"/>
      <w:lvlJc w:val="left"/>
      <w:pPr>
        <w:ind w:left="425" w:firstLine="0"/>
      </w:pPr>
      <w:rPr>
        <w:rFonts w:hint="eastAsia" w:ascii="黑体" w:hAnsi="Times New Roman" w:eastAsia="黑体"/>
        <w:b w:val="0"/>
        <w:i w:val="0"/>
        <w:sz w:val="21"/>
      </w:rPr>
    </w:lvl>
    <w:lvl w:ilvl="6" w:tentative="0">
      <w:start w:val="1"/>
      <w:numFmt w:val="decimal"/>
      <w:suff w:val="nothing"/>
      <w:lvlText w:val="%1%2.%3.%4.%5.%6.%7　"/>
      <w:lvlJc w:val="left"/>
      <w:pPr>
        <w:ind w:left="425" w:firstLine="0"/>
      </w:pPr>
      <w:rPr>
        <w:rFonts w:hint="eastAsia" w:ascii="黑体" w:hAnsi="Times New Roman" w:eastAsia="黑体"/>
        <w:b w:val="0"/>
        <w:i w:val="0"/>
        <w:sz w:val="21"/>
      </w:rPr>
    </w:lvl>
    <w:lvl w:ilvl="7" w:tentative="0">
      <w:start w:val="1"/>
      <w:numFmt w:val="decimal"/>
      <w:lvlText w:val="%1.%2.%3.%4.%5.%6.%7.%8"/>
      <w:lvlJc w:val="left"/>
      <w:pPr>
        <w:tabs>
          <w:tab w:val="left" w:pos="4776"/>
        </w:tabs>
        <w:ind w:left="425" w:firstLine="0"/>
      </w:pPr>
      <w:rPr>
        <w:rFonts w:hint="eastAsia"/>
      </w:rPr>
    </w:lvl>
    <w:lvl w:ilvl="8" w:tentative="0">
      <w:start w:val="1"/>
      <w:numFmt w:val="decimal"/>
      <w:lvlText w:val="%1.%2.%3.%4.%5.%6.%7.%8.%9"/>
      <w:lvlJc w:val="left"/>
      <w:pPr>
        <w:tabs>
          <w:tab w:val="left" w:pos="5202"/>
        </w:tabs>
        <w:ind w:left="425" w:firstLine="0"/>
      </w:pPr>
      <w:rPr>
        <w:rFonts w:hint="eastAsia"/>
      </w:rPr>
    </w:lvl>
  </w:abstractNum>
  <w:num w:numId="1">
    <w:abstractNumId w:val="22"/>
  </w:num>
  <w:num w:numId="2">
    <w:abstractNumId w:val="2"/>
  </w:num>
  <w:num w:numId="3">
    <w:abstractNumId w:val="3"/>
  </w:num>
  <w:num w:numId="4">
    <w:abstractNumId w:val="10"/>
  </w:num>
  <w:num w:numId="5">
    <w:abstractNumId w:val="21"/>
  </w:num>
  <w:num w:numId="6">
    <w:abstractNumId w:val="15"/>
  </w:num>
  <w:num w:numId="7">
    <w:abstractNumId w:val="25"/>
  </w:num>
  <w:num w:numId="8">
    <w:abstractNumId w:val="4"/>
  </w:num>
  <w:num w:numId="9">
    <w:abstractNumId w:val="20"/>
  </w:num>
  <w:num w:numId="10">
    <w:abstractNumId w:val="8"/>
  </w:num>
  <w:num w:numId="11">
    <w:abstractNumId w:val="5"/>
  </w:num>
  <w:num w:numId="12">
    <w:abstractNumId w:val="18"/>
  </w:num>
  <w:num w:numId="13">
    <w:abstractNumId w:val="13"/>
  </w:num>
  <w:num w:numId="14">
    <w:abstractNumId w:val="14"/>
  </w:num>
  <w:num w:numId="15">
    <w:abstractNumId w:val="11"/>
  </w:num>
  <w:num w:numId="16">
    <w:abstractNumId w:val="12"/>
  </w:num>
  <w:num w:numId="17">
    <w:abstractNumId w:val="16"/>
  </w:num>
  <w:num w:numId="18">
    <w:abstractNumId w:val="9"/>
  </w:num>
  <w:num w:numId="19">
    <w:abstractNumId w:val="6"/>
  </w:num>
  <w:num w:numId="20">
    <w:abstractNumId w:val="7"/>
  </w:num>
  <w:num w:numId="21">
    <w:abstractNumId w:val="19"/>
  </w:num>
  <w:num w:numId="22">
    <w:abstractNumId w:val="26"/>
  </w:num>
  <w:num w:numId="23">
    <w:abstractNumId w:val="17"/>
  </w:num>
  <w:num w:numId="24">
    <w:abstractNumId w:val="1"/>
  </w:num>
  <w:num w:numId="25">
    <w:abstractNumId w:val="23"/>
  </w:num>
  <w:num w:numId="26">
    <w:abstractNumId w:val="0"/>
  </w:num>
  <w:num w:numId="27">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mirrorMargins w:val="1"/>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trackRevisions w:val="1"/>
  <w:documentProtection w:enforcement="0"/>
  <w:defaultTabStop w:val="420"/>
  <w:hyphenationZone w:val="360"/>
  <w:evenAndOddHeaders w:val="1"/>
  <w:drawingGridHorizontalSpacing w:val="105"/>
  <w:drawingGridVerticalSpacing w:val="156"/>
  <w:displayHorizontalDrawingGridEvery w:val="1"/>
  <w:displayVerticalDrawingGridEvery w:val="1"/>
  <w:noPunctuationKerning w:val="1"/>
  <w:characterSpacingControl w:val="compressPunctuation"/>
  <w:doNotValidateAgainstSchema/>
  <w:doNotDemarcateInvalidXml/>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WJiMTUxOWE5ZTM4ZmEzM2EwYzNmYzRiYjczNWY2YjAifQ=="/>
  </w:docVars>
  <w:rsids>
    <w:rsidRoot w:val="00172A27"/>
    <w:rsid w:val="0000060E"/>
    <w:rsid w:val="000011FE"/>
    <w:rsid w:val="000026B4"/>
    <w:rsid w:val="0000345D"/>
    <w:rsid w:val="00003D39"/>
    <w:rsid w:val="00005A96"/>
    <w:rsid w:val="0000690C"/>
    <w:rsid w:val="00012E28"/>
    <w:rsid w:val="0001593B"/>
    <w:rsid w:val="0001640C"/>
    <w:rsid w:val="00016DE9"/>
    <w:rsid w:val="000172DD"/>
    <w:rsid w:val="00020F34"/>
    <w:rsid w:val="000228FE"/>
    <w:rsid w:val="00022DD5"/>
    <w:rsid w:val="00023706"/>
    <w:rsid w:val="000252BD"/>
    <w:rsid w:val="00027061"/>
    <w:rsid w:val="000278C4"/>
    <w:rsid w:val="00027E57"/>
    <w:rsid w:val="00027EC4"/>
    <w:rsid w:val="00027FB6"/>
    <w:rsid w:val="0003012D"/>
    <w:rsid w:val="000311E9"/>
    <w:rsid w:val="00031652"/>
    <w:rsid w:val="00031ACB"/>
    <w:rsid w:val="00034001"/>
    <w:rsid w:val="000341AF"/>
    <w:rsid w:val="00034C97"/>
    <w:rsid w:val="000377F3"/>
    <w:rsid w:val="00041006"/>
    <w:rsid w:val="000417F2"/>
    <w:rsid w:val="00041F63"/>
    <w:rsid w:val="00043DC9"/>
    <w:rsid w:val="00044485"/>
    <w:rsid w:val="00045CC8"/>
    <w:rsid w:val="0005046E"/>
    <w:rsid w:val="0005064F"/>
    <w:rsid w:val="00050D03"/>
    <w:rsid w:val="00052BA0"/>
    <w:rsid w:val="00052F1C"/>
    <w:rsid w:val="000530ED"/>
    <w:rsid w:val="00053F14"/>
    <w:rsid w:val="00054454"/>
    <w:rsid w:val="0005620D"/>
    <w:rsid w:val="0005680B"/>
    <w:rsid w:val="000569AE"/>
    <w:rsid w:val="00057C04"/>
    <w:rsid w:val="00060805"/>
    <w:rsid w:val="00060ECC"/>
    <w:rsid w:val="00061EA8"/>
    <w:rsid w:val="0006365B"/>
    <w:rsid w:val="00063F70"/>
    <w:rsid w:val="00065D0F"/>
    <w:rsid w:val="00067486"/>
    <w:rsid w:val="00067C81"/>
    <w:rsid w:val="0007081D"/>
    <w:rsid w:val="0007105A"/>
    <w:rsid w:val="00072488"/>
    <w:rsid w:val="00072BA7"/>
    <w:rsid w:val="000760D0"/>
    <w:rsid w:val="0007698E"/>
    <w:rsid w:val="0008135E"/>
    <w:rsid w:val="000819F7"/>
    <w:rsid w:val="00082646"/>
    <w:rsid w:val="00084AF9"/>
    <w:rsid w:val="00084B94"/>
    <w:rsid w:val="00084DB0"/>
    <w:rsid w:val="00085B6D"/>
    <w:rsid w:val="00085B72"/>
    <w:rsid w:val="00085D10"/>
    <w:rsid w:val="000866D1"/>
    <w:rsid w:val="0008684D"/>
    <w:rsid w:val="00090734"/>
    <w:rsid w:val="00090D10"/>
    <w:rsid w:val="00090E50"/>
    <w:rsid w:val="000917DB"/>
    <w:rsid w:val="00091869"/>
    <w:rsid w:val="000919F1"/>
    <w:rsid w:val="00091C42"/>
    <w:rsid w:val="00093119"/>
    <w:rsid w:val="00093D81"/>
    <w:rsid w:val="00094D0E"/>
    <w:rsid w:val="00095202"/>
    <w:rsid w:val="000954DD"/>
    <w:rsid w:val="00095E91"/>
    <w:rsid w:val="0009631B"/>
    <w:rsid w:val="000A0568"/>
    <w:rsid w:val="000A0DBA"/>
    <w:rsid w:val="000A22A5"/>
    <w:rsid w:val="000A26F3"/>
    <w:rsid w:val="000A3648"/>
    <w:rsid w:val="000A3B11"/>
    <w:rsid w:val="000A511D"/>
    <w:rsid w:val="000A5693"/>
    <w:rsid w:val="000A7FA2"/>
    <w:rsid w:val="000B015D"/>
    <w:rsid w:val="000B03CE"/>
    <w:rsid w:val="000B1D0F"/>
    <w:rsid w:val="000B205D"/>
    <w:rsid w:val="000B2CC0"/>
    <w:rsid w:val="000B3420"/>
    <w:rsid w:val="000B4120"/>
    <w:rsid w:val="000B4582"/>
    <w:rsid w:val="000B46AD"/>
    <w:rsid w:val="000B4CD8"/>
    <w:rsid w:val="000B5558"/>
    <w:rsid w:val="000B5896"/>
    <w:rsid w:val="000B7A93"/>
    <w:rsid w:val="000B7C71"/>
    <w:rsid w:val="000C11D1"/>
    <w:rsid w:val="000C17A0"/>
    <w:rsid w:val="000C1FA4"/>
    <w:rsid w:val="000C25DB"/>
    <w:rsid w:val="000C2AD1"/>
    <w:rsid w:val="000C3EE2"/>
    <w:rsid w:val="000C483A"/>
    <w:rsid w:val="000C53F7"/>
    <w:rsid w:val="000C5DCF"/>
    <w:rsid w:val="000C60DC"/>
    <w:rsid w:val="000C7BD7"/>
    <w:rsid w:val="000D0C7E"/>
    <w:rsid w:val="000D1442"/>
    <w:rsid w:val="000D3241"/>
    <w:rsid w:val="000D4918"/>
    <w:rsid w:val="000D49E3"/>
    <w:rsid w:val="000D6C06"/>
    <w:rsid w:val="000D6CE0"/>
    <w:rsid w:val="000D7DB3"/>
    <w:rsid w:val="000E0B78"/>
    <w:rsid w:val="000E12EB"/>
    <w:rsid w:val="000E2398"/>
    <w:rsid w:val="000E3161"/>
    <w:rsid w:val="000E3E3F"/>
    <w:rsid w:val="000E4091"/>
    <w:rsid w:val="000E4682"/>
    <w:rsid w:val="000E5369"/>
    <w:rsid w:val="000E669E"/>
    <w:rsid w:val="000E7604"/>
    <w:rsid w:val="000F05B0"/>
    <w:rsid w:val="000F1D8E"/>
    <w:rsid w:val="000F261A"/>
    <w:rsid w:val="000F35EC"/>
    <w:rsid w:val="000F3FB3"/>
    <w:rsid w:val="000F58D6"/>
    <w:rsid w:val="000F5DBF"/>
    <w:rsid w:val="000F6188"/>
    <w:rsid w:val="000F6431"/>
    <w:rsid w:val="000F71BD"/>
    <w:rsid w:val="000F7204"/>
    <w:rsid w:val="000F795C"/>
    <w:rsid w:val="001009CE"/>
    <w:rsid w:val="00100DA3"/>
    <w:rsid w:val="001014DA"/>
    <w:rsid w:val="001015DB"/>
    <w:rsid w:val="00101D03"/>
    <w:rsid w:val="001020F7"/>
    <w:rsid w:val="00103152"/>
    <w:rsid w:val="00103FB6"/>
    <w:rsid w:val="001062AC"/>
    <w:rsid w:val="00106779"/>
    <w:rsid w:val="001067D5"/>
    <w:rsid w:val="001109FF"/>
    <w:rsid w:val="00112057"/>
    <w:rsid w:val="00114C09"/>
    <w:rsid w:val="00114D31"/>
    <w:rsid w:val="00114DC0"/>
    <w:rsid w:val="001166D2"/>
    <w:rsid w:val="00117148"/>
    <w:rsid w:val="00117536"/>
    <w:rsid w:val="00117899"/>
    <w:rsid w:val="00120002"/>
    <w:rsid w:val="0012039C"/>
    <w:rsid w:val="00120D71"/>
    <w:rsid w:val="0012500F"/>
    <w:rsid w:val="00125A22"/>
    <w:rsid w:val="0012755B"/>
    <w:rsid w:val="00127E20"/>
    <w:rsid w:val="00130EAE"/>
    <w:rsid w:val="00131A0F"/>
    <w:rsid w:val="0013271C"/>
    <w:rsid w:val="0013357E"/>
    <w:rsid w:val="001340B2"/>
    <w:rsid w:val="001344C2"/>
    <w:rsid w:val="00136B03"/>
    <w:rsid w:val="0013766A"/>
    <w:rsid w:val="00137DBC"/>
    <w:rsid w:val="0014074A"/>
    <w:rsid w:val="00141D8F"/>
    <w:rsid w:val="001421FA"/>
    <w:rsid w:val="00142620"/>
    <w:rsid w:val="00143F67"/>
    <w:rsid w:val="0014594C"/>
    <w:rsid w:val="00146ACF"/>
    <w:rsid w:val="00146DCB"/>
    <w:rsid w:val="0015045B"/>
    <w:rsid w:val="00150687"/>
    <w:rsid w:val="001506A6"/>
    <w:rsid w:val="001514B3"/>
    <w:rsid w:val="00151982"/>
    <w:rsid w:val="00151B46"/>
    <w:rsid w:val="00152A10"/>
    <w:rsid w:val="0015306E"/>
    <w:rsid w:val="00153075"/>
    <w:rsid w:val="00153B6E"/>
    <w:rsid w:val="001543FE"/>
    <w:rsid w:val="00156382"/>
    <w:rsid w:val="0015643B"/>
    <w:rsid w:val="0015644D"/>
    <w:rsid w:val="001574B2"/>
    <w:rsid w:val="001607D3"/>
    <w:rsid w:val="00160E42"/>
    <w:rsid w:val="00160FFF"/>
    <w:rsid w:val="0016179B"/>
    <w:rsid w:val="0016237E"/>
    <w:rsid w:val="00162E49"/>
    <w:rsid w:val="00165236"/>
    <w:rsid w:val="00166262"/>
    <w:rsid w:val="001664E3"/>
    <w:rsid w:val="00166953"/>
    <w:rsid w:val="00166E0F"/>
    <w:rsid w:val="001702C5"/>
    <w:rsid w:val="00170913"/>
    <w:rsid w:val="00170B97"/>
    <w:rsid w:val="00171154"/>
    <w:rsid w:val="00172132"/>
    <w:rsid w:val="00172859"/>
    <w:rsid w:val="001746B8"/>
    <w:rsid w:val="00176EA3"/>
    <w:rsid w:val="00177D60"/>
    <w:rsid w:val="00182533"/>
    <w:rsid w:val="00183538"/>
    <w:rsid w:val="00184A41"/>
    <w:rsid w:val="0018798B"/>
    <w:rsid w:val="00187B1A"/>
    <w:rsid w:val="00187B63"/>
    <w:rsid w:val="001905B9"/>
    <w:rsid w:val="001920A4"/>
    <w:rsid w:val="00192450"/>
    <w:rsid w:val="001927E6"/>
    <w:rsid w:val="001931C0"/>
    <w:rsid w:val="00194431"/>
    <w:rsid w:val="0019443B"/>
    <w:rsid w:val="00194BDB"/>
    <w:rsid w:val="00194F0A"/>
    <w:rsid w:val="001A098A"/>
    <w:rsid w:val="001A0B9B"/>
    <w:rsid w:val="001A1312"/>
    <w:rsid w:val="001A21F5"/>
    <w:rsid w:val="001A2BC2"/>
    <w:rsid w:val="001A3C21"/>
    <w:rsid w:val="001A3CB4"/>
    <w:rsid w:val="001A3E69"/>
    <w:rsid w:val="001A4C9C"/>
    <w:rsid w:val="001A59B3"/>
    <w:rsid w:val="001A6D37"/>
    <w:rsid w:val="001A7115"/>
    <w:rsid w:val="001A7D92"/>
    <w:rsid w:val="001B046D"/>
    <w:rsid w:val="001B05A0"/>
    <w:rsid w:val="001B1204"/>
    <w:rsid w:val="001B2107"/>
    <w:rsid w:val="001B43C5"/>
    <w:rsid w:val="001B4A65"/>
    <w:rsid w:val="001B749E"/>
    <w:rsid w:val="001B7D26"/>
    <w:rsid w:val="001B7FB5"/>
    <w:rsid w:val="001C1097"/>
    <w:rsid w:val="001C153A"/>
    <w:rsid w:val="001C193C"/>
    <w:rsid w:val="001C20AB"/>
    <w:rsid w:val="001C267F"/>
    <w:rsid w:val="001C2D64"/>
    <w:rsid w:val="001C3DA5"/>
    <w:rsid w:val="001C4E1E"/>
    <w:rsid w:val="001C7676"/>
    <w:rsid w:val="001D20CA"/>
    <w:rsid w:val="001D28EE"/>
    <w:rsid w:val="001D293F"/>
    <w:rsid w:val="001D4BDF"/>
    <w:rsid w:val="001D5958"/>
    <w:rsid w:val="001D76D4"/>
    <w:rsid w:val="001E15E8"/>
    <w:rsid w:val="001E1C85"/>
    <w:rsid w:val="001E352D"/>
    <w:rsid w:val="001E45BB"/>
    <w:rsid w:val="001E4B1A"/>
    <w:rsid w:val="001E75CF"/>
    <w:rsid w:val="001E76F8"/>
    <w:rsid w:val="001F1CC9"/>
    <w:rsid w:val="001F2E50"/>
    <w:rsid w:val="0020140D"/>
    <w:rsid w:val="0020193E"/>
    <w:rsid w:val="00202885"/>
    <w:rsid w:val="00202B4A"/>
    <w:rsid w:val="00202B57"/>
    <w:rsid w:val="002037E2"/>
    <w:rsid w:val="00203CF0"/>
    <w:rsid w:val="002050B7"/>
    <w:rsid w:val="00205928"/>
    <w:rsid w:val="00205D86"/>
    <w:rsid w:val="00205E3D"/>
    <w:rsid w:val="00210793"/>
    <w:rsid w:val="00210C6D"/>
    <w:rsid w:val="00211409"/>
    <w:rsid w:val="00211A57"/>
    <w:rsid w:val="00211E48"/>
    <w:rsid w:val="002127E5"/>
    <w:rsid w:val="002146B3"/>
    <w:rsid w:val="0021472B"/>
    <w:rsid w:val="00214A38"/>
    <w:rsid w:val="002167A6"/>
    <w:rsid w:val="002167DC"/>
    <w:rsid w:val="00217514"/>
    <w:rsid w:val="00217F85"/>
    <w:rsid w:val="00220C86"/>
    <w:rsid w:val="00221E22"/>
    <w:rsid w:val="00222613"/>
    <w:rsid w:val="00222D55"/>
    <w:rsid w:val="00223B80"/>
    <w:rsid w:val="002268C9"/>
    <w:rsid w:val="0022736A"/>
    <w:rsid w:val="00227C15"/>
    <w:rsid w:val="00231A9F"/>
    <w:rsid w:val="002320A9"/>
    <w:rsid w:val="00236A07"/>
    <w:rsid w:val="00237E0A"/>
    <w:rsid w:val="00240645"/>
    <w:rsid w:val="00240C1B"/>
    <w:rsid w:val="002417BE"/>
    <w:rsid w:val="00241CC3"/>
    <w:rsid w:val="00244B36"/>
    <w:rsid w:val="0024515D"/>
    <w:rsid w:val="00245D29"/>
    <w:rsid w:val="00245F30"/>
    <w:rsid w:val="00247CEF"/>
    <w:rsid w:val="00251F51"/>
    <w:rsid w:val="0025361D"/>
    <w:rsid w:val="00253868"/>
    <w:rsid w:val="00255094"/>
    <w:rsid w:val="0025511E"/>
    <w:rsid w:val="00256FA3"/>
    <w:rsid w:val="00257BE0"/>
    <w:rsid w:val="00257C3B"/>
    <w:rsid w:val="00257CE5"/>
    <w:rsid w:val="00260060"/>
    <w:rsid w:val="0026153B"/>
    <w:rsid w:val="00261F5B"/>
    <w:rsid w:val="00261FD3"/>
    <w:rsid w:val="00262201"/>
    <w:rsid w:val="00262846"/>
    <w:rsid w:val="002650E1"/>
    <w:rsid w:val="0026557C"/>
    <w:rsid w:val="002662EF"/>
    <w:rsid w:val="00270EDE"/>
    <w:rsid w:val="002720A2"/>
    <w:rsid w:val="00274D12"/>
    <w:rsid w:val="00274EBF"/>
    <w:rsid w:val="002755DF"/>
    <w:rsid w:val="002767DE"/>
    <w:rsid w:val="002769CC"/>
    <w:rsid w:val="00276B30"/>
    <w:rsid w:val="0028081B"/>
    <w:rsid w:val="00282630"/>
    <w:rsid w:val="0028267F"/>
    <w:rsid w:val="00282AAF"/>
    <w:rsid w:val="00282B78"/>
    <w:rsid w:val="00284AA1"/>
    <w:rsid w:val="0028529B"/>
    <w:rsid w:val="0028574D"/>
    <w:rsid w:val="002867BE"/>
    <w:rsid w:val="00286CD1"/>
    <w:rsid w:val="00287B96"/>
    <w:rsid w:val="0029042F"/>
    <w:rsid w:val="002925C6"/>
    <w:rsid w:val="00294420"/>
    <w:rsid w:val="002A0B47"/>
    <w:rsid w:val="002A3D38"/>
    <w:rsid w:val="002A4AC8"/>
    <w:rsid w:val="002A4AD4"/>
    <w:rsid w:val="002A504D"/>
    <w:rsid w:val="002A5274"/>
    <w:rsid w:val="002A5E6C"/>
    <w:rsid w:val="002A7043"/>
    <w:rsid w:val="002A74CA"/>
    <w:rsid w:val="002B0972"/>
    <w:rsid w:val="002B0B1E"/>
    <w:rsid w:val="002B1005"/>
    <w:rsid w:val="002B173E"/>
    <w:rsid w:val="002B1879"/>
    <w:rsid w:val="002B41A8"/>
    <w:rsid w:val="002B4F54"/>
    <w:rsid w:val="002B4FF8"/>
    <w:rsid w:val="002B69A3"/>
    <w:rsid w:val="002B6A0E"/>
    <w:rsid w:val="002B7FE9"/>
    <w:rsid w:val="002C3230"/>
    <w:rsid w:val="002C32E1"/>
    <w:rsid w:val="002C424F"/>
    <w:rsid w:val="002C4C56"/>
    <w:rsid w:val="002C5536"/>
    <w:rsid w:val="002C6ADC"/>
    <w:rsid w:val="002C7BD1"/>
    <w:rsid w:val="002D010C"/>
    <w:rsid w:val="002D0324"/>
    <w:rsid w:val="002D079B"/>
    <w:rsid w:val="002D1801"/>
    <w:rsid w:val="002D3DF0"/>
    <w:rsid w:val="002D43E9"/>
    <w:rsid w:val="002D468B"/>
    <w:rsid w:val="002D4FA5"/>
    <w:rsid w:val="002D632D"/>
    <w:rsid w:val="002E24AE"/>
    <w:rsid w:val="002E3B36"/>
    <w:rsid w:val="002E401A"/>
    <w:rsid w:val="002E40AD"/>
    <w:rsid w:val="002E4385"/>
    <w:rsid w:val="002E61AD"/>
    <w:rsid w:val="002E67A5"/>
    <w:rsid w:val="002E6C9A"/>
    <w:rsid w:val="002F2874"/>
    <w:rsid w:val="002F35EB"/>
    <w:rsid w:val="002F3620"/>
    <w:rsid w:val="002F43DF"/>
    <w:rsid w:val="002F4AA0"/>
    <w:rsid w:val="002F5EA3"/>
    <w:rsid w:val="002F625F"/>
    <w:rsid w:val="002F632F"/>
    <w:rsid w:val="00300B4A"/>
    <w:rsid w:val="00302013"/>
    <w:rsid w:val="00302885"/>
    <w:rsid w:val="00304680"/>
    <w:rsid w:val="00305B7E"/>
    <w:rsid w:val="00305F3C"/>
    <w:rsid w:val="00307F67"/>
    <w:rsid w:val="00307FC3"/>
    <w:rsid w:val="003101E5"/>
    <w:rsid w:val="00310937"/>
    <w:rsid w:val="00310E10"/>
    <w:rsid w:val="003115E3"/>
    <w:rsid w:val="0031163F"/>
    <w:rsid w:val="0031236B"/>
    <w:rsid w:val="00313399"/>
    <w:rsid w:val="003143D5"/>
    <w:rsid w:val="0031479F"/>
    <w:rsid w:val="003150F2"/>
    <w:rsid w:val="00317458"/>
    <w:rsid w:val="00317908"/>
    <w:rsid w:val="00321155"/>
    <w:rsid w:val="003226EF"/>
    <w:rsid w:val="003235C0"/>
    <w:rsid w:val="00323A5A"/>
    <w:rsid w:val="00324600"/>
    <w:rsid w:val="00324BC0"/>
    <w:rsid w:val="0032786C"/>
    <w:rsid w:val="00327F0C"/>
    <w:rsid w:val="003308A4"/>
    <w:rsid w:val="003325F5"/>
    <w:rsid w:val="00332D7D"/>
    <w:rsid w:val="003339D9"/>
    <w:rsid w:val="00334002"/>
    <w:rsid w:val="0033552F"/>
    <w:rsid w:val="00336B0A"/>
    <w:rsid w:val="00337101"/>
    <w:rsid w:val="003371C6"/>
    <w:rsid w:val="0033744E"/>
    <w:rsid w:val="00337B5B"/>
    <w:rsid w:val="00340C96"/>
    <w:rsid w:val="00341326"/>
    <w:rsid w:val="00341715"/>
    <w:rsid w:val="00342564"/>
    <w:rsid w:val="00343B33"/>
    <w:rsid w:val="00345C7D"/>
    <w:rsid w:val="00346565"/>
    <w:rsid w:val="00347825"/>
    <w:rsid w:val="00347C9C"/>
    <w:rsid w:val="0035202B"/>
    <w:rsid w:val="00352418"/>
    <w:rsid w:val="00352AF6"/>
    <w:rsid w:val="00355453"/>
    <w:rsid w:val="00355558"/>
    <w:rsid w:val="00356AD0"/>
    <w:rsid w:val="00356BFF"/>
    <w:rsid w:val="00364389"/>
    <w:rsid w:val="00365031"/>
    <w:rsid w:val="003659A6"/>
    <w:rsid w:val="003701C7"/>
    <w:rsid w:val="003716E0"/>
    <w:rsid w:val="00372994"/>
    <w:rsid w:val="00372F9E"/>
    <w:rsid w:val="0037468A"/>
    <w:rsid w:val="00375D07"/>
    <w:rsid w:val="003779DB"/>
    <w:rsid w:val="00380853"/>
    <w:rsid w:val="003814CD"/>
    <w:rsid w:val="00382DA2"/>
    <w:rsid w:val="00383746"/>
    <w:rsid w:val="00384DB2"/>
    <w:rsid w:val="00385F4B"/>
    <w:rsid w:val="00386762"/>
    <w:rsid w:val="00387338"/>
    <w:rsid w:val="003874C9"/>
    <w:rsid w:val="00391DA5"/>
    <w:rsid w:val="00392B7D"/>
    <w:rsid w:val="00392F8C"/>
    <w:rsid w:val="00393B0E"/>
    <w:rsid w:val="00393B14"/>
    <w:rsid w:val="00394DA4"/>
    <w:rsid w:val="00395F6C"/>
    <w:rsid w:val="003960BA"/>
    <w:rsid w:val="00396A8B"/>
    <w:rsid w:val="00397A7A"/>
    <w:rsid w:val="003A0965"/>
    <w:rsid w:val="003A1199"/>
    <w:rsid w:val="003A11C4"/>
    <w:rsid w:val="003A39DA"/>
    <w:rsid w:val="003B0BFE"/>
    <w:rsid w:val="003B0EDC"/>
    <w:rsid w:val="003B1208"/>
    <w:rsid w:val="003B12BE"/>
    <w:rsid w:val="003B37A4"/>
    <w:rsid w:val="003B49D6"/>
    <w:rsid w:val="003B4C50"/>
    <w:rsid w:val="003B528A"/>
    <w:rsid w:val="003B52DD"/>
    <w:rsid w:val="003B5881"/>
    <w:rsid w:val="003C0C7B"/>
    <w:rsid w:val="003C31C8"/>
    <w:rsid w:val="003C4084"/>
    <w:rsid w:val="003C50FE"/>
    <w:rsid w:val="003C5E5B"/>
    <w:rsid w:val="003D0C82"/>
    <w:rsid w:val="003D1E2A"/>
    <w:rsid w:val="003D1E80"/>
    <w:rsid w:val="003D1F8F"/>
    <w:rsid w:val="003D23A8"/>
    <w:rsid w:val="003D2E89"/>
    <w:rsid w:val="003D4888"/>
    <w:rsid w:val="003D5161"/>
    <w:rsid w:val="003D7106"/>
    <w:rsid w:val="003D738B"/>
    <w:rsid w:val="003D78F0"/>
    <w:rsid w:val="003D7AA4"/>
    <w:rsid w:val="003E1565"/>
    <w:rsid w:val="003E355D"/>
    <w:rsid w:val="003E6186"/>
    <w:rsid w:val="003E651A"/>
    <w:rsid w:val="003E780D"/>
    <w:rsid w:val="003F115A"/>
    <w:rsid w:val="003F19FB"/>
    <w:rsid w:val="003F1AE0"/>
    <w:rsid w:val="003F419E"/>
    <w:rsid w:val="003F4BF2"/>
    <w:rsid w:val="003F4E1B"/>
    <w:rsid w:val="003F5584"/>
    <w:rsid w:val="003F56A2"/>
    <w:rsid w:val="003F5DD4"/>
    <w:rsid w:val="003F5E3A"/>
    <w:rsid w:val="003F6047"/>
    <w:rsid w:val="003F60DF"/>
    <w:rsid w:val="003F7CDB"/>
    <w:rsid w:val="00400A86"/>
    <w:rsid w:val="00400EFD"/>
    <w:rsid w:val="00401907"/>
    <w:rsid w:val="00401AB8"/>
    <w:rsid w:val="004020F6"/>
    <w:rsid w:val="00402266"/>
    <w:rsid w:val="004022D2"/>
    <w:rsid w:val="0040230D"/>
    <w:rsid w:val="00402428"/>
    <w:rsid w:val="004038EB"/>
    <w:rsid w:val="00404A4D"/>
    <w:rsid w:val="00406FC0"/>
    <w:rsid w:val="00410E05"/>
    <w:rsid w:val="00411250"/>
    <w:rsid w:val="004119F1"/>
    <w:rsid w:val="0041291A"/>
    <w:rsid w:val="00412A7D"/>
    <w:rsid w:val="00413446"/>
    <w:rsid w:val="0041348E"/>
    <w:rsid w:val="00413D20"/>
    <w:rsid w:val="004169E6"/>
    <w:rsid w:val="004170B6"/>
    <w:rsid w:val="00420491"/>
    <w:rsid w:val="00420811"/>
    <w:rsid w:val="0042199A"/>
    <w:rsid w:val="00421FF5"/>
    <w:rsid w:val="00422099"/>
    <w:rsid w:val="0042290D"/>
    <w:rsid w:val="00422DF7"/>
    <w:rsid w:val="00423AA9"/>
    <w:rsid w:val="0042667C"/>
    <w:rsid w:val="004276AA"/>
    <w:rsid w:val="00427BDD"/>
    <w:rsid w:val="00430659"/>
    <w:rsid w:val="00430EAF"/>
    <w:rsid w:val="00432101"/>
    <w:rsid w:val="0043265B"/>
    <w:rsid w:val="00432DAE"/>
    <w:rsid w:val="004331E4"/>
    <w:rsid w:val="00433D1B"/>
    <w:rsid w:val="004345B8"/>
    <w:rsid w:val="004350B8"/>
    <w:rsid w:val="004354CB"/>
    <w:rsid w:val="0043626C"/>
    <w:rsid w:val="004373C1"/>
    <w:rsid w:val="004403ED"/>
    <w:rsid w:val="00440755"/>
    <w:rsid w:val="00442BE9"/>
    <w:rsid w:val="00442F02"/>
    <w:rsid w:val="004430D2"/>
    <w:rsid w:val="00443A07"/>
    <w:rsid w:val="00443C3D"/>
    <w:rsid w:val="004451DE"/>
    <w:rsid w:val="00445841"/>
    <w:rsid w:val="0044648E"/>
    <w:rsid w:val="004465B0"/>
    <w:rsid w:val="00446858"/>
    <w:rsid w:val="00446D2C"/>
    <w:rsid w:val="00450603"/>
    <w:rsid w:val="00451294"/>
    <w:rsid w:val="00452337"/>
    <w:rsid w:val="004531C2"/>
    <w:rsid w:val="004536E0"/>
    <w:rsid w:val="00455363"/>
    <w:rsid w:val="00455EC0"/>
    <w:rsid w:val="00456F29"/>
    <w:rsid w:val="004572F4"/>
    <w:rsid w:val="00457CDE"/>
    <w:rsid w:val="0046000A"/>
    <w:rsid w:val="00461911"/>
    <w:rsid w:val="00461E9B"/>
    <w:rsid w:val="0046342E"/>
    <w:rsid w:val="0046473A"/>
    <w:rsid w:val="0046500C"/>
    <w:rsid w:val="004652DF"/>
    <w:rsid w:val="004668A7"/>
    <w:rsid w:val="00466CA7"/>
    <w:rsid w:val="00467E8E"/>
    <w:rsid w:val="00470AC2"/>
    <w:rsid w:val="00470DBC"/>
    <w:rsid w:val="00470DE0"/>
    <w:rsid w:val="004722BB"/>
    <w:rsid w:val="00472665"/>
    <w:rsid w:val="00472B0D"/>
    <w:rsid w:val="00473798"/>
    <w:rsid w:val="00473E01"/>
    <w:rsid w:val="00473E5A"/>
    <w:rsid w:val="0047462A"/>
    <w:rsid w:val="00474D64"/>
    <w:rsid w:val="004755D7"/>
    <w:rsid w:val="00476296"/>
    <w:rsid w:val="00477148"/>
    <w:rsid w:val="00480A75"/>
    <w:rsid w:val="00480CA9"/>
    <w:rsid w:val="00480F90"/>
    <w:rsid w:val="00481143"/>
    <w:rsid w:val="00481485"/>
    <w:rsid w:val="004824D9"/>
    <w:rsid w:val="00482CF6"/>
    <w:rsid w:val="00484B9A"/>
    <w:rsid w:val="004877C0"/>
    <w:rsid w:val="0049162F"/>
    <w:rsid w:val="0049318A"/>
    <w:rsid w:val="00496E3F"/>
    <w:rsid w:val="00497AAC"/>
    <w:rsid w:val="00497C77"/>
    <w:rsid w:val="00497E4E"/>
    <w:rsid w:val="004A0749"/>
    <w:rsid w:val="004A0B17"/>
    <w:rsid w:val="004A0E0C"/>
    <w:rsid w:val="004A1288"/>
    <w:rsid w:val="004A14C5"/>
    <w:rsid w:val="004A20C9"/>
    <w:rsid w:val="004A3BF3"/>
    <w:rsid w:val="004A5EEB"/>
    <w:rsid w:val="004A7025"/>
    <w:rsid w:val="004A7383"/>
    <w:rsid w:val="004B16B4"/>
    <w:rsid w:val="004B1DCE"/>
    <w:rsid w:val="004B2826"/>
    <w:rsid w:val="004B2896"/>
    <w:rsid w:val="004B294B"/>
    <w:rsid w:val="004B359C"/>
    <w:rsid w:val="004B4C8D"/>
    <w:rsid w:val="004B4D0E"/>
    <w:rsid w:val="004B50FC"/>
    <w:rsid w:val="004B5915"/>
    <w:rsid w:val="004B7BE6"/>
    <w:rsid w:val="004C1A6E"/>
    <w:rsid w:val="004C2120"/>
    <w:rsid w:val="004C744C"/>
    <w:rsid w:val="004D033C"/>
    <w:rsid w:val="004D0507"/>
    <w:rsid w:val="004D0F14"/>
    <w:rsid w:val="004D10A7"/>
    <w:rsid w:val="004D1BD1"/>
    <w:rsid w:val="004D27EE"/>
    <w:rsid w:val="004D458D"/>
    <w:rsid w:val="004D4875"/>
    <w:rsid w:val="004D4E2F"/>
    <w:rsid w:val="004D5A89"/>
    <w:rsid w:val="004D681C"/>
    <w:rsid w:val="004E372E"/>
    <w:rsid w:val="004E44CA"/>
    <w:rsid w:val="004E476D"/>
    <w:rsid w:val="004E4D8C"/>
    <w:rsid w:val="004E5D23"/>
    <w:rsid w:val="004E6761"/>
    <w:rsid w:val="004E6BDE"/>
    <w:rsid w:val="004E6C34"/>
    <w:rsid w:val="004E7FBB"/>
    <w:rsid w:val="004F0AC0"/>
    <w:rsid w:val="004F1B73"/>
    <w:rsid w:val="004F29D9"/>
    <w:rsid w:val="004F63EA"/>
    <w:rsid w:val="004F6C20"/>
    <w:rsid w:val="004F72E5"/>
    <w:rsid w:val="00500BF7"/>
    <w:rsid w:val="00501649"/>
    <w:rsid w:val="005030FE"/>
    <w:rsid w:val="0050338B"/>
    <w:rsid w:val="005067A9"/>
    <w:rsid w:val="00506A59"/>
    <w:rsid w:val="00507CA8"/>
    <w:rsid w:val="00510738"/>
    <w:rsid w:val="00510B34"/>
    <w:rsid w:val="00512586"/>
    <w:rsid w:val="005137E3"/>
    <w:rsid w:val="0051451C"/>
    <w:rsid w:val="00514674"/>
    <w:rsid w:val="00514ACF"/>
    <w:rsid w:val="00516C6C"/>
    <w:rsid w:val="005179DA"/>
    <w:rsid w:val="00517ACB"/>
    <w:rsid w:val="005224CE"/>
    <w:rsid w:val="00523102"/>
    <w:rsid w:val="00526206"/>
    <w:rsid w:val="00526B7B"/>
    <w:rsid w:val="00526D4D"/>
    <w:rsid w:val="00527C7C"/>
    <w:rsid w:val="00531309"/>
    <w:rsid w:val="00531928"/>
    <w:rsid w:val="005336D6"/>
    <w:rsid w:val="00533717"/>
    <w:rsid w:val="00533BA0"/>
    <w:rsid w:val="00533F42"/>
    <w:rsid w:val="0053417F"/>
    <w:rsid w:val="00534AF1"/>
    <w:rsid w:val="00536302"/>
    <w:rsid w:val="00536C18"/>
    <w:rsid w:val="00537E90"/>
    <w:rsid w:val="00540DCD"/>
    <w:rsid w:val="005416EB"/>
    <w:rsid w:val="00542FF2"/>
    <w:rsid w:val="005444C2"/>
    <w:rsid w:val="00545814"/>
    <w:rsid w:val="00545EC5"/>
    <w:rsid w:val="00547472"/>
    <w:rsid w:val="00550DEB"/>
    <w:rsid w:val="00551A57"/>
    <w:rsid w:val="0055200D"/>
    <w:rsid w:val="005522D6"/>
    <w:rsid w:val="005564EB"/>
    <w:rsid w:val="00557DEE"/>
    <w:rsid w:val="0056055D"/>
    <w:rsid w:val="00561CC0"/>
    <w:rsid w:val="00562814"/>
    <w:rsid w:val="00562C6E"/>
    <w:rsid w:val="00563B99"/>
    <w:rsid w:val="00564187"/>
    <w:rsid w:val="00564AC3"/>
    <w:rsid w:val="00566DF1"/>
    <w:rsid w:val="00567446"/>
    <w:rsid w:val="0057148B"/>
    <w:rsid w:val="005719DA"/>
    <w:rsid w:val="00571CA2"/>
    <w:rsid w:val="00571EB4"/>
    <w:rsid w:val="00572588"/>
    <w:rsid w:val="005728F7"/>
    <w:rsid w:val="00572BBC"/>
    <w:rsid w:val="0057380D"/>
    <w:rsid w:val="0057472F"/>
    <w:rsid w:val="00577745"/>
    <w:rsid w:val="00577E46"/>
    <w:rsid w:val="0058002D"/>
    <w:rsid w:val="00580CEE"/>
    <w:rsid w:val="005811E6"/>
    <w:rsid w:val="00581B5A"/>
    <w:rsid w:val="005838B3"/>
    <w:rsid w:val="00583BFB"/>
    <w:rsid w:val="00584660"/>
    <w:rsid w:val="00585A13"/>
    <w:rsid w:val="00585FAC"/>
    <w:rsid w:val="0059087B"/>
    <w:rsid w:val="0059185D"/>
    <w:rsid w:val="0059318E"/>
    <w:rsid w:val="00593AF4"/>
    <w:rsid w:val="00594BA7"/>
    <w:rsid w:val="00595FD9"/>
    <w:rsid w:val="005966BC"/>
    <w:rsid w:val="0059740C"/>
    <w:rsid w:val="005A019E"/>
    <w:rsid w:val="005A16A2"/>
    <w:rsid w:val="005A20C8"/>
    <w:rsid w:val="005A31C1"/>
    <w:rsid w:val="005A4E42"/>
    <w:rsid w:val="005A6561"/>
    <w:rsid w:val="005A7594"/>
    <w:rsid w:val="005B2B82"/>
    <w:rsid w:val="005B337A"/>
    <w:rsid w:val="005B34D9"/>
    <w:rsid w:val="005B40CF"/>
    <w:rsid w:val="005B428F"/>
    <w:rsid w:val="005B5F9A"/>
    <w:rsid w:val="005B69FB"/>
    <w:rsid w:val="005B7892"/>
    <w:rsid w:val="005C0ACA"/>
    <w:rsid w:val="005C29FD"/>
    <w:rsid w:val="005C35F6"/>
    <w:rsid w:val="005C3D0D"/>
    <w:rsid w:val="005C3F86"/>
    <w:rsid w:val="005C4C0C"/>
    <w:rsid w:val="005C5127"/>
    <w:rsid w:val="005C5331"/>
    <w:rsid w:val="005C65D0"/>
    <w:rsid w:val="005C6DBB"/>
    <w:rsid w:val="005C7718"/>
    <w:rsid w:val="005D22F9"/>
    <w:rsid w:val="005D2CAC"/>
    <w:rsid w:val="005D7E9C"/>
    <w:rsid w:val="005E037E"/>
    <w:rsid w:val="005E1245"/>
    <w:rsid w:val="005E1D01"/>
    <w:rsid w:val="005E1DAB"/>
    <w:rsid w:val="005E1E0D"/>
    <w:rsid w:val="005E34E9"/>
    <w:rsid w:val="005E35A8"/>
    <w:rsid w:val="005E3A5E"/>
    <w:rsid w:val="005E499C"/>
    <w:rsid w:val="005E5BBD"/>
    <w:rsid w:val="005E6688"/>
    <w:rsid w:val="005E686A"/>
    <w:rsid w:val="005E77C8"/>
    <w:rsid w:val="005F1985"/>
    <w:rsid w:val="005F218F"/>
    <w:rsid w:val="005F3004"/>
    <w:rsid w:val="005F40F9"/>
    <w:rsid w:val="005F4258"/>
    <w:rsid w:val="005F42E5"/>
    <w:rsid w:val="005F44CC"/>
    <w:rsid w:val="005F4DF6"/>
    <w:rsid w:val="005F5C68"/>
    <w:rsid w:val="005F7EB0"/>
    <w:rsid w:val="006000AC"/>
    <w:rsid w:val="006002FF"/>
    <w:rsid w:val="00600E34"/>
    <w:rsid w:val="0060147F"/>
    <w:rsid w:val="0060170F"/>
    <w:rsid w:val="0060175E"/>
    <w:rsid w:val="00601F98"/>
    <w:rsid w:val="00602005"/>
    <w:rsid w:val="00602953"/>
    <w:rsid w:val="00603634"/>
    <w:rsid w:val="00604536"/>
    <w:rsid w:val="00604635"/>
    <w:rsid w:val="00604EF0"/>
    <w:rsid w:val="006068F1"/>
    <w:rsid w:val="00610691"/>
    <w:rsid w:val="006107A4"/>
    <w:rsid w:val="006119CF"/>
    <w:rsid w:val="00612F9B"/>
    <w:rsid w:val="0061306C"/>
    <w:rsid w:val="00614812"/>
    <w:rsid w:val="00614B55"/>
    <w:rsid w:val="006164D9"/>
    <w:rsid w:val="00616C63"/>
    <w:rsid w:val="00617F83"/>
    <w:rsid w:val="00621A6A"/>
    <w:rsid w:val="00622F96"/>
    <w:rsid w:val="00623E4A"/>
    <w:rsid w:val="006245E3"/>
    <w:rsid w:val="006269F4"/>
    <w:rsid w:val="00626AD8"/>
    <w:rsid w:val="00627769"/>
    <w:rsid w:val="0063053F"/>
    <w:rsid w:val="00630B5B"/>
    <w:rsid w:val="00630EDB"/>
    <w:rsid w:val="00632E68"/>
    <w:rsid w:val="00633B80"/>
    <w:rsid w:val="00634C24"/>
    <w:rsid w:val="0063566F"/>
    <w:rsid w:val="00635A0E"/>
    <w:rsid w:val="00635DDE"/>
    <w:rsid w:val="006365B8"/>
    <w:rsid w:val="006367D2"/>
    <w:rsid w:val="00636F4F"/>
    <w:rsid w:val="006374E1"/>
    <w:rsid w:val="00640FBD"/>
    <w:rsid w:val="006413CC"/>
    <w:rsid w:val="006413F4"/>
    <w:rsid w:val="0064387B"/>
    <w:rsid w:val="00643A73"/>
    <w:rsid w:val="006447C8"/>
    <w:rsid w:val="0064494C"/>
    <w:rsid w:val="00644B8C"/>
    <w:rsid w:val="00647AAB"/>
    <w:rsid w:val="00651422"/>
    <w:rsid w:val="006534B6"/>
    <w:rsid w:val="00654341"/>
    <w:rsid w:val="0065525C"/>
    <w:rsid w:val="0065558C"/>
    <w:rsid w:val="00655CE6"/>
    <w:rsid w:val="006570B9"/>
    <w:rsid w:val="006625C2"/>
    <w:rsid w:val="006633B4"/>
    <w:rsid w:val="00667216"/>
    <w:rsid w:val="00667C16"/>
    <w:rsid w:val="00670513"/>
    <w:rsid w:val="00670B4F"/>
    <w:rsid w:val="006711CC"/>
    <w:rsid w:val="00671EA3"/>
    <w:rsid w:val="00673F21"/>
    <w:rsid w:val="0067491D"/>
    <w:rsid w:val="00674D09"/>
    <w:rsid w:val="00675A2F"/>
    <w:rsid w:val="00676E48"/>
    <w:rsid w:val="006779A6"/>
    <w:rsid w:val="00680559"/>
    <w:rsid w:val="0068117C"/>
    <w:rsid w:val="006843A0"/>
    <w:rsid w:val="00685E3D"/>
    <w:rsid w:val="006862C0"/>
    <w:rsid w:val="00686E85"/>
    <w:rsid w:val="00690DCD"/>
    <w:rsid w:val="00691911"/>
    <w:rsid w:val="00692067"/>
    <w:rsid w:val="006924EF"/>
    <w:rsid w:val="006933A6"/>
    <w:rsid w:val="00693BF5"/>
    <w:rsid w:val="00694580"/>
    <w:rsid w:val="006953AE"/>
    <w:rsid w:val="00695662"/>
    <w:rsid w:val="006956D8"/>
    <w:rsid w:val="00696192"/>
    <w:rsid w:val="006961B5"/>
    <w:rsid w:val="006966B5"/>
    <w:rsid w:val="00697FF4"/>
    <w:rsid w:val="006A1612"/>
    <w:rsid w:val="006A16B2"/>
    <w:rsid w:val="006A19A8"/>
    <w:rsid w:val="006A1D32"/>
    <w:rsid w:val="006A1E75"/>
    <w:rsid w:val="006A34DF"/>
    <w:rsid w:val="006A560D"/>
    <w:rsid w:val="006A6010"/>
    <w:rsid w:val="006A675F"/>
    <w:rsid w:val="006A7885"/>
    <w:rsid w:val="006A7904"/>
    <w:rsid w:val="006A79DA"/>
    <w:rsid w:val="006A7DEB"/>
    <w:rsid w:val="006B20FC"/>
    <w:rsid w:val="006B27CB"/>
    <w:rsid w:val="006B3EE5"/>
    <w:rsid w:val="006B45E2"/>
    <w:rsid w:val="006B4E5E"/>
    <w:rsid w:val="006B65EE"/>
    <w:rsid w:val="006B6B6F"/>
    <w:rsid w:val="006B7C99"/>
    <w:rsid w:val="006C0A59"/>
    <w:rsid w:val="006C14CA"/>
    <w:rsid w:val="006C1532"/>
    <w:rsid w:val="006C153C"/>
    <w:rsid w:val="006C1EAF"/>
    <w:rsid w:val="006C1FC4"/>
    <w:rsid w:val="006C261F"/>
    <w:rsid w:val="006C313C"/>
    <w:rsid w:val="006C3ACE"/>
    <w:rsid w:val="006C3B6B"/>
    <w:rsid w:val="006C49EC"/>
    <w:rsid w:val="006C4D19"/>
    <w:rsid w:val="006C6C80"/>
    <w:rsid w:val="006D08E0"/>
    <w:rsid w:val="006D1A17"/>
    <w:rsid w:val="006D1E50"/>
    <w:rsid w:val="006D27E1"/>
    <w:rsid w:val="006D2941"/>
    <w:rsid w:val="006D33E3"/>
    <w:rsid w:val="006D4015"/>
    <w:rsid w:val="006D4FA7"/>
    <w:rsid w:val="006D609F"/>
    <w:rsid w:val="006E036B"/>
    <w:rsid w:val="006E0ECF"/>
    <w:rsid w:val="006E21E8"/>
    <w:rsid w:val="006E401A"/>
    <w:rsid w:val="006E6849"/>
    <w:rsid w:val="006E6DC1"/>
    <w:rsid w:val="006E7243"/>
    <w:rsid w:val="006F10CB"/>
    <w:rsid w:val="006F12C5"/>
    <w:rsid w:val="006F1615"/>
    <w:rsid w:val="006F1C24"/>
    <w:rsid w:val="006F2FB8"/>
    <w:rsid w:val="006F349B"/>
    <w:rsid w:val="006F525E"/>
    <w:rsid w:val="006F55FD"/>
    <w:rsid w:val="006F6144"/>
    <w:rsid w:val="0070128F"/>
    <w:rsid w:val="007016C4"/>
    <w:rsid w:val="00701BF4"/>
    <w:rsid w:val="00702F7F"/>
    <w:rsid w:val="007033BC"/>
    <w:rsid w:val="0070359A"/>
    <w:rsid w:val="0070426E"/>
    <w:rsid w:val="00704990"/>
    <w:rsid w:val="00704A57"/>
    <w:rsid w:val="0070630B"/>
    <w:rsid w:val="00706677"/>
    <w:rsid w:val="00707365"/>
    <w:rsid w:val="007075B9"/>
    <w:rsid w:val="007076AB"/>
    <w:rsid w:val="00707B5C"/>
    <w:rsid w:val="0071016B"/>
    <w:rsid w:val="00710394"/>
    <w:rsid w:val="007118FB"/>
    <w:rsid w:val="0071237D"/>
    <w:rsid w:val="007127D4"/>
    <w:rsid w:val="00714270"/>
    <w:rsid w:val="0071457F"/>
    <w:rsid w:val="007173C1"/>
    <w:rsid w:val="0072047D"/>
    <w:rsid w:val="007217B1"/>
    <w:rsid w:val="00724F7B"/>
    <w:rsid w:val="0072694F"/>
    <w:rsid w:val="0072732E"/>
    <w:rsid w:val="00727361"/>
    <w:rsid w:val="00727A2F"/>
    <w:rsid w:val="00727D83"/>
    <w:rsid w:val="00730DA8"/>
    <w:rsid w:val="00730FAF"/>
    <w:rsid w:val="0073117D"/>
    <w:rsid w:val="00731439"/>
    <w:rsid w:val="00731BD3"/>
    <w:rsid w:val="0073220F"/>
    <w:rsid w:val="007337EE"/>
    <w:rsid w:val="007338A6"/>
    <w:rsid w:val="0073447F"/>
    <w:rsid w:val="00734D01"/>
    <w:rsid w:val="00734F6E"/>
    <w:rsid w:val="0073513D"/>
    <w:rsid w:val="00737CA9"/>
    <w:rsid w:val="0074025F"/>
    <w:rsid w:val="00741D2A"/>
    <w:rsid w:val="0074360C"/>
    <w:rsid w:val="007439C7"/>
    <w:rsid w:val="007447AA"/>
    <w:rsid w:val="00745547"/>
    <w:rsid w:val="007455DE"/>
    <w:rsid w:val="00747D58"/>
    <w:rsid w:val="00750BEB"/>
    <w:rsid w:val="00750C97"/>
    <w:rsid w:val="007510F8"/>
    <w:rsid w:val="00752580"/>
    <w:rsid w:val="007544F6"/>
    <w:rsid w:val="007545EB"/>
    <w:rsid w:val="0075598C"/>
    <w:rsid w:val="00757FF0"/>
    <w:rsid w:val="007604A2"/>
    <w:rsid w:val="007614E1"/>
    <w:rsid w:val="00761B3B"/>
    <w:rsid w:val="00761EFC"/>
    <w:rsid w:val="00762AB5"/>
    <w:rsid w:val="00762AC2"/>
    <w:rsid w:val="00762E69"/>
    <w:rsid w:val="007630E2"/>
    <w:rsid w:val="00763EBB"/>
    <w:rsid w:val="007650E9"/>
    <w:rsid w:val="00765666"/>
    <w:rsid w:val="00766717"/>
    <w:rsid w:val="00766A0A"/>
    <w:rsid w:val="00766C6C"/>
    <w:rsid w:val="00767010"/>
    <w:rsid w:val="00767E92"/>
    <w:rsid w:val="0077030D"/>
    <w:rsid w:val="0077103E"/>
    <w:rsid w:val="007724C2"/>
    <w:rsid w:val="00775EE3"/>
    <w:rsid w:val="00777E63"/>
    <w:rsid w:val="00780319"/>
    <w:rsid w:val="00780F98"/>
    <w:rsid w:val="0078210E"/>
    <w:rsid w:val="0078280A"/>
    <w:rsid w:val="007829BD"/>
    <w:rsid w:val="00785BD3"/>
    <w:rsid w:val="007875F6"/>
    <w:rsid w:val="00790A3A"/>
    <w:rsid w:val="007913A9"/>
    <w:rsid w:val="00792325"/>
    <w:rsid w:val="00792AD7"/>
    <w:rsid w:val="00792B23"/>
    <w:rsid w:val="007939A4"/>
    <w:rsid w:val="00793A91"/>
    <w:rsid w:val="00793FFE"/>
    <w:rsid w:val="0079489E"/>
    <w:rsid w:val="00796694"/>
    <w:rsid w:val="007967DE"/>
    <w:rsid w:val="0079682C"/>
    <w:rsid w:val="00796A92"/>
    <w:rsid w:val="00797BB0"/>
    <w:rsid w:val="007A0847"/>
    <w:rsid w:val="007A1730"/>
    <w:rsid w:val="007A2015"/>
    <w:rsid w:val="007A2C75"/>
    <w:rsid w:val="007A616A"/>
    <w:rsid w:val="007A672D"/>
    <w:rsid w:val="007A7CB1"/>
    <w:rsid w:val="007B0182"/>
    <w:rsid w:val="007B16F8"/>
    <w:rsid w:val="007B1745"/>
    <w:rsid w:val="007B197A"/>
    <w:rsid w:val="007B2DC6"/>
    <w:rsid w:val="007B3AD4"/>
    <w:rsid w:val="007B4661"/>
    <w:rsid w:val="007B63BF"/>
    <w:rsid w:val="007B6819"/>
    <w:rsid w:val="007B6C22"/>
    <w:rsid w:val="007B6C7F"/>
    <w:rsid w:val="007B6DF7"/>
    <w:rsid w:val="007B753B"/>
    <w:rsid w:val="007C0346"/>
    <w:rsid w:val="007C08F2"/>
    <w:rsid w:val="007C0E1E"/>
    <w:rsid w:val="007C25BE"/>
    <w:rsid w:val="007C27E3"/>
    <w:rsid w:val="007C3BB5"/>
    <w:rsid w:val="007C5A96"/>
    <w:rsid w:val="007C5F4B"/>
    <w:rsid w:val="007C6039"/>
    <w:rsid w:val="007C6B9B"/>
    <w:rsid w:val="007C6C11"/>
    <w:rsid w:val="007C6F0D"/>
    <w:rsid w:val="007C769C"/>
    <w:rsid w:val="007C79EB"/>
    <w:rsid w:val="007C7D55"/>
    <w:rsid w:val="007D10EE"/>
    <w:rsid w:val="007D11D2"/>
    <w:rsid w:val="007D2034"/>
    <w:rsid w:val="007D2A59"/>
    <w:rsid w:val="007D2ADA"/>
    <w:rsid w:val="007D32E9"/>
    <w:rsid w:val="007D6644"/>
    <w:rsid w:val="007D74D7"/>
    <w:rsid w:val="007D7AA4"/>
    <w:rsid w:val="007D7B40"/>
    <w:rsid w:val="007E2923"/>
    <w:rsid w:val="007E46D8"/>
    <w:rsid w:val="007E6DA5"/>
    <w:rsid w:val="007E7DB7"/>
    <w:rsid w:val="007E7DBE"/>
    <w:rsid w:val="007F23B0"/>
    <w:rsid w:val="007F36CE"/>
    <w:rsid w:val="007F3BEE"/>
    <w:rsid w:val="007F3FED"/>
    <w:rsid w:val="007F7770"/>
    <w:rsid w:val="007F7C12"/>
    <w:rsid w:val="00800203"/>
    <w:rsid w:val="00800A10"/>
    <w:rsid w:val="00802319"/>
    <w:rsid w:val="00803ED1"/>
    <w:rsid w:val="00803F52"/>
    <w:rsid w:val="008040A6"/>
    <w:rsid w:val="00805482"/>
    <w:rsid w:val="00805DE0"/>
    <w:rsid w:val="0080679A"/>
    <w:rsid w:val="00807CD4"/>
    <w:rsid w:val="00810CF1"/>
    <w:rsid w:val="008133A5"/>
    <w:rsid w:val="00813E3E"/>
    <w:rsid w:val="008161FB"/>
    <w:rsid w:val="008166BE"/>
    <w:rsid w:val="00820BE0"/>
    <w:rsid w:val="00821B00"/>
    <w:rsid w:val="008221E1"/>
    <w:rsid w:val="00822633"/>
    <w:rsid w:val="00822A95"/>
    <w:rsid w:val="00823AEF"/>
    <w:rsid w:val="0082440A"/>
    <w:rsid w:val="00824699"/>
    <w:rsid w:val="0082531F"/>
    <w:rsid w:val="0082678A"/>
    <w:rsid w:val="00827171"/>
    <w:rsid w:val="00830424"/>
    <w:rsid w:val="008305E0"/>
    <w:rsid w:val="0083178C"/>
    <w:rsid w:val="00833357"/>
    <w:rsid w:val="00833556"/>
    <w:rsid w:val="00833704"/>
    <w:rsid w:val="00833FB9"/>
    <w:rsid w:val="0083415E"/>
    <w:rsid w:val="00834E98"/>
    <w:rsid w:val="008353F4"/>
    <w:rsid w:val="00835E85"/>
    <w:rsid w:val="00836701"/>
    <w:rsid w:val="00836EA1"/>
    <w:rsid w:val="008374B1"/>
    <w:rsid w:val="00840920"/>
    <w:rsid w:val="00842A19"/>
    <w:rsid w:val="00844BB0"/>
    <w:rsid w:val="008453E8"/>
    <w:rsid w:val="0084788E"/>
    <w:rsid w:val="00847DC2"/>
    <w:rsid w:val="00850469"/>
    <w:rsid w:val="008521C5"/>
    <w:rsid w:val="00853204"/>
    <w:rsid w:val="0085429E"/>
    <w:rsid w:val="00854368"/>
    <w:rsid w:val="008546B3"/>
    <w:rsid w:val="00854926"/>
    <w:rsid w:val="008555CD"/>
    <w:rsid w:val="00855C42"/>
    <w:rsid w:val="00857191"/>
    <w:rsid w:val="00862959"/>
    <w:rsid w:val="00863FA6"/>
    <w:rsid w:val="008651F3"/>
    <w:rsid w:val="008657D0"/>
    <w:rsid w:val="00865F4C"/>
    <w:rsid w:val="00871A35"/>
    <w:rsid w:val="00871C0E"/>
    <w:rsid w:val="0087239F"/>
    <w:rsid w:val="00872A3E"/>
    <w:rsid w:val="00876045"/>
    <w:rsid w:val="00876A91"/>
    <w:rsid w:val="00880552"/>
    <w:rsid w:val="00880625"/>
    <w:rsid w:val="008806E2"/>
    <w:rsid w:val="008809B8"/>
    <w:rsid w:val="00880CD9"/>
    <w:rsid w:val="00880D0B"/>
    <w:rsid w:val="00882E3A"/>
    <w:rsid w:val="008841A3"/>
    <w:rsid w:val="0088481F"/>
    <w:rsid w:val="008858CF"/>
    <w:rsid w:val="00885B23"/>
    <w:rsid w:val="00886319"/>
    <w:rsid w:val="0088763C"/>
    <w:rsid w:val="00887D4E"/>
    <w:rsid w:val="008903E6"/>
    <w:rsid w:val="00890FD7"/>
    <w:rsid w:val="008917E7"/>
    <w:rsid w:val="00891857"/>
    <w:rsid w:val="00892352"/>
    <w:rsid w:val="0089271E"/>
    <w:rsid w:val="0089286E"/>
    <w:rsid w:val="00892BC8"/>
    <w:rsid w:val="00892DDF"/>
    <w:rsid w:val="00893515"/>
    <w:rsid w:val="00893CDB"/>
    <w:rsid w:val="00893FAF"/>
    <w:rsid w:val="00894620"/>
    <w:rsid w:val="00895392"/>
    <w:rsid w:val="00895AD4"/>
    <w:rsid w:val="00895DA8"/>
    <w:rsid w:val="00896121"/>
    <w:rsid w:val="0089722E"/>
    <w:rsid w:val="008A0285"/>
    <w:rsid w:val="008A21AB"/>
    <w:rsid w:val="008A2B24"/>
    <w:rsid w:val="008A30E1"/>
    <w:rsid w:val="008A34F4"/>
    <w:rsid w:val="008A36EE"/>
    <w:rsid w:val="008A3735"/>
    <w:rsid w:val="008A53EA"/>
    <w:rsid w:val="008A66AF"/>
    <w:rsid w:val="008A77DB"/>
    <w:rsid w:val="008A796D"/>
    <w:rsid w:val="008B0F19"/>
    <w:rsid w:val="008B1C6D"/>
    <w:rsid w:val="008B33DC"/>
    <w:rsid w:val="008B3A1E"/>
    <w:rsid w:val="008B3D44"/>
    <w:rsid w:val="008B4030"/>
    <w:rsid w:val="008C0DC8"/>
    <w:rsid w:val="008C1180"/>
    <w:rsid w:val="008C3409"/>
    <w:rsid w:val="008C6076"/>
    <w:rsid w:val="008C66D0"/>
    <w:rsid w:val="008C6FEF"/>
    <w:rsid w:val="008C7866"/>
    <w:rsid w:val="008C7BA4"/>
    <w:rsid w:val="008D0015"/>
    <w:rsid w:val="008D00BD"/>
    <w:rsid w:val="008D1181"/>
    <w:rsid w:val="008D3B53"/>
    <w:rsid w:val="008D4014"/>
    <w:rsid w:val="008D425A"/>
    <w:rsid w:val="008D4C24"/>
    <w:rsid w:val="008D797B"/>
    <w:rsid w:val="008E0E8E"/>
    <w:rsid w:val="008E0F8F"/>
    <w:rsid w:val="008E3A3D"/>
    <w:rsid w:val="008E5F82"/>
    <w:rsid w:val="008E63AD"/>
    <w:rsid w:val="008E7046"/>
    <w:rsid w:val="008F126D"/>
    <w:rsid w:val="008F175B"/>
    <w:rsid w:val="008F2353"/>
    <w:rsid w:val="008F2CC9"/>
    <w:rsid w:val="008F3944"/>
    <w:rsid w:val="008F3D09"/>
    <w:rsid w:val="008F5A2D"/>
    <w:rsid w:val="008F68C1"/>
    <w:rsid w:val="008F7090"/>
    <w:rsid w:val="00903051"/>
    <w:rsid w:val="009030AC"/>
    <w:rsid w:val="00904DFC"/>
    <w:rsid w:val="009050A6"/>
    <w:rsid w:val="009061BD"/>
    <w:rsid w:val="00906265"/>
    <w:rsid w:val="009067DC"/>
    <w:rsid w:val="009079B8"/>
    <w:rsid w:val="00907D14"/>
    <w:rsid w:val="009104E1"/>
    <w:rsid w:val="00910C69"/>
    <w:rsid w:val="0091108A"/>
    <w:rsid w:val="00911BE3"/>
    <w:rsid w:val="009129B3"/>
    <w:rsid w:val="009130C0"/>
    <w:rsid w:val="00913FE6"/>
    <w:rsid w:val="00917C22"/>
    <w:rsid w:val="00920964"/>
    <w:rsid w:val="00921209"/>
    <w:rsid w:val="00923C8E"/>
    <w:rsid w:val="00923DDC"/>
    <w:rsid w:val="00924CBC"/>
    <w:rsid w:val="00924D2B"/>
    <w:rsid w:val="00924E93"/>
    <w:rsid w:val="009256C6"/>
    <w:rsid w:val="0092589C"/>
    <w:rsid w:val="0092597B"/>
    <w:rsid w:val="00925EED"/>
    <w:rsid w:val="0092676B"/>
    <w:rsid w:val="00927A03"/>
    <w:rsid w:val="00931209"/>
    <w:rsid w:val="00931AA1"/>
    <w:rsid w:val="009326E9"/>
    <w:rsid w:val="0093379A"/>
    <w:rsid w:val="0093431A"/>
    <w:rsid w:val="00936A7B"/>
    <w:rsid w:val="00937382"/>
    <w:rsid w:val="00937F8C"/>
    <w:rsid w:val="00940A43"/>
    <w:rsid w:val="00940DC2"/>
    <w:rsid w:val="00940FB6"/>
    <w:rsid w:val="00941238"/>
    <w:rsid w:val="00942177"/>
    <w:rsid w:val="00944828"/>
    <w:rsid w:val="009454E6"/>
    <w:rsid w:val="009455C8"/>
    <w:rsid w:val="009459C3"/>
    <w:rsid w:val="00946CCD"/>
    <w:rsid w:val="00950E8C"/>
    <w:rsid w:val="009510AB"/>
    <w:rsid w:val="009511B7"/>
    <w:rsid w:val="00951E71"/>
    <w:rsid w:val="00953445"/>
    <w:rsid w:val="00953A2B"/>
    <w:rsid w:val="00953CA5"/>
    <w:rsid w:val="009545C8"/>
    <w:rsid w:val="00955020"/>
    <w:rsid w:val="0095562C"/>
    <w:rsid w:val="00956C44"/>
    <w:rsid w:val="00956EC0"/>
    <w:rsid w:val="0096006C"/>
    <w:rsid w:val="00960325"/>
    <w:rsid w:val="0096172F"/>
    <w:rsid w:val="009627F8"/>
    <w:rsid w:val="00962AC8"/>
    <w:rsid w:val="00963BE7"/>
    <w:rsid w:val="00963BF9"/>
    <w:rsid w:val="00964A76"/>
    <w:rsid w:val="00965B01"/>
    <w:rsid w:val="00965B73"/>
    <w:rsid w:val="00965D4C"/>
    <w:rsid w:val="00966AD4"/>
    <w:rsid w:val="0097008B"/>
    <w:rsid w:val="00971DEC"/>
    <w:rsid w:val="009728DF"/>
    <w:rsid w:val="0097397A"/>
    <w:rsid w:val="00975FD0"/>
    <w:rsid w:val="00976BEF"/>
    <w:rsid w:val="00977515"/>
    <w:rsid w:val="00980B71"/>
    <w:rsid w:val="00981455"/>
    <w:rsid w:val="0098164C"/>
    <w:rsid w:val="00981855"/>
    <w:rsid w:val="00981D96"/>
    <w:rsid w:val="00982702"/>
    <w:rsid w:val="00983261"/>
    <w:rsid w:val="00984692"/>
    <w:rsid w:val="009847DA"/>
    <w:rsid w:val="009857D2"/>
    <w:rsid w:val="0098598F"/>
    <w:rsid w:val="009869BF"/>
    <w:rsid w:val="00987BC2"/>
    <w:rsid w:val="00990DFE"/>
    <w:rsid w:val="009918CD"/>
    <w:rsid w:val="009923AF"/>
    <w:rsid w:val="0099355B"/>
    <w:rsid w:val="00997F92"/>
    <w:rsid w:val="009A109F"/>
    <w:rsid w:val="009A362B"/>
    <w:rsid w:val="009A396D"/>
    <w:rsid w:val="009A6355"/>
    <w:rsid w:val="009B0283"/>
    <w:rsid w:val="009B08B3"/>
    <w:rsid w:val="009B0F6C"/>
    <w:rsid w:val="009B1F83"/>
    <w:rsid w:val="009B32A7"/>
    <w:rsid w:val="009B421C"/>
    <w:rsid w:val="009B4227"/>
    <w:rsid w:val="009B42C0"/>
    <w:rsid w:val="009B4829"/>
    <w:rsid w:val="009B5EBC"/>
    <w:rsid w:val="009B79DF"/>
    <w:rsid w:val="009C0E39"/>
    <w:rsid w:val="009C1620"/>
    <w:rsid w:val="009C2047"/>
    <w:rsid w:val="009C22BC"/>
    <w:rsid w:val="009C2ABD"/>
    <w:rsid w:val="009C2BF5"/>
    <w:rsid w:val="009C30BD"/>
    <w:rsid w:val="009C402C"/>
    <w:rsid w:val="009C445E"/>
    <w:rsid w:val="009C77DF"/>
    <w:rsid w:val="009D0994"/>
    <w:rsid w:val="009D18BB"/>
    <w:rsid w:val="009D1943"/>
    <w:rsid w:val="009D53C1"/>
    <w:rsid w:val="009D59AB"/>
    <w:rsid w:val="009D660F"/>
    <w:rsid w:val="009D6E4D"/>
    <w:rsid w:val="009E0671"/>
    <w:rsid w:val="009E4C31"/>
    <w:rsid w:val="009E4DDB"/>
    <w:rsid w:val="009E4E42"/>
    <w:rsid w:val="009E512E"/>
    <w:rsid w:val="009E51A4"/>
    <w:rsid w:val="009E5408"/>
    <w:rsid w:val="009E762E"/>
    <w:rsid w:val="009F0944"/>
    <w:rsid w:val="009F252D"/>
    <w:rsid w:val="009F40E0"/>
    <w:rsid w:val="009F4923"/>
    <w:rsid w:val="009F4B8A"/>
    <w:rsid w:val="009F52E3"/>
    <w:rsid w:val="009F54FC"/>
    <w:rsid w:val="009F699B"/>
    <w:rsid w:val="009F75B2"/>
    <w:rsid w:val="009F7995"/>
    <w:rsid w:val="00A0032F"/>
    <w:rsid w:val="00A01443"/>
    <w:rsid w:val="00A02C54"/>
    <w:rsid w:val="00A0720E"/>
    <w:rsid w:val="00A079EF"/>
    <w:rsid w:val="00A07D76"/>
    <w:rsid w:val="00A106E4"/>
    <w:rsid w:val="00A10C93"/>
    <w:rsid w:val="00A112FD"/>
    <w:rsid w:val="00A13F2F"/>
    <w:rsid w:val="00A14203"/>
    <w:rsid w:val="00A14292"/>
    <w:rsid w:val="00A178D4"/>
    <w:rsid w:val="00A2004C"/>
    <w:rsid w:val="00A20133"/>
    <w:rsid w:val="00A20588"/>
    <w:rsid w:val="00A21A66"/>
    <w:rsid w:val="00A221B7"/>
    <w:rsid w:val="00A22275"/>
    <w:rsid w:val="00A226FF"/>
    <w:rsid w:val="00A2281F"/>
    <w:rsid w:val="00A229DA"/>
    <w:rsid w:val="00A22E0A"/>
    <w:rsid w:val="00A231F2"/>
    <w:rsid w:val="00A24D11"/>
    <w:rsid w:val="00A254D9"/>
    <w:rsid w:val="00A25541"/>
    <w:rsid w:val="00A271AC"/>
    <w:rsid w:val="00A278C6"/>
    <w:rsid w:val="00A30F2D"/>
    <w:rsid w:val="00A312DF"/>
    <w:rsid w:val="00A320A4"/>
    <w:rsid w:val="00A329BC"/>
    <w:rsid w:val="00A32E6B"/>
    <w:rsid w:val="00A32FF9"/>
    <w:rsid w:val="00A3364A"/>
    <w:rsid w:val="00A33F1A"/>
    <w:rsid w:val="00A34FF4"/>
    <w:rsid w:val="00A3526B"/>
    <w:rsid w:val="00A372CD"/>
    <w:rsid w:val="00A37BDC"/>
    <w:rsid w:val="00A4231F"/>
    <w:rsid w:val="00A4316E"/>
    <w:rsid w:val="00A43C20"/>
    <w:rsid w:val="00A448BC"/>
    <w:rsid w:val="00A44EDA"/>
    <w:rsid w:val="00A461FA"/>
    <w:rsid w:val="00A46488"/>
    <w:rsid w:val="00A467CA"/>
    <w:rsid w:val="00A4727C"/>
    <w:rsid w:val="00A47E9B"/>
    <w:rsid w:val="00A505D3"/>
    <w:rsid w:val="00A5070D"/>
    <w:rsid w:val="00A507F5"/>
    <w:rsid w:val="00A51427"/>
    <w:rsid w:val="00A52AB6"/>
    <w:rsid w:val="00A52E78"/>
    <w:rsid w:val="00A52FDC"/>
    <w:rsid w:val="00A53E23"/>
    <w:rsid w:val="00A542AE"/>
    <w:rsid w:val="00A55198"/>
    <w:rsid w:val="00A5539E"/>
    <w:rsid w:val="00A56737"/>
    <w:rsid w:val="00A57C9F"/>
    <w:rsid w:val="00A57F41"/>
    <w:rsid w:val="00A60FB1"/>
    <w:rsid w:val="00A613BF"/>
    <w:rsid w:val="00A626FD"/>
    <w:rsid w:val="00A62A54"/>
    <w:rsid w:val="00A651E3"/>
    <w:rsid w:val="00A67A6B"/>
    <w:rsid w:val="00A67D3B"/>
    <w:rsid w:val="00A7093F"/>
    <w:rsid w:val="00A70B61"/>
    <w:rsid w:val="00A71D30"/>
    <w:rsid w:val="00A72F37"/>
    <w:rsid w:val="00A730C7"/>
    <w:rsid w:val="00A73C44"/>
    <w:rsid w:val="00A73CD9"/>
    <w:rsid w:val="00A74BD6"/>
    <w:rsid w:val="00A758E7"/>
    <w:rsid w:val="00A8015E"/>
    <w:rsid w:val="00A80249"/>
    <w:rsid w:val="00A832AD"/>
    <w:rsid w:val="00A84AE5"/>
    <w:rsid w:val="00A855D3"/>
    <w:rsid w:val="00A857A8"/>
    <w:rsid w:val="00A85A07"/>
    <w:rsid w:val="00A85D3D"/>
    <w:rsid w:val="00A86A6A"/>
    <w:rsid w:val="00A90026"/>
    <w:rsid w:val="00A914F1"/>
    <w:rsid w:val="00A91586"/>
    <w:rsid w:val="00A9377C"/>
    <w:rsid w:val="00A93B3A"/>
    <w:rsid w:val="00A9458B"/>
    <w:rsid w:val="00A945A4"/>
    <w:rsid w:val="00A9510D"/>
    <w:rsid w:val="00A95B4C"/>
    <w:rsid w:val="00A95B83"/>
    <w:rsid w:val="00A95EFF"/>
    <w:rsid w:val="00A961DB"/>
    <w:rsid w:val="00A96C4D"/>
    <w:rsid w:val="00A96F64"/>
    <w:rsid w:val="00A97ADE"/>
    <w:rsid w:val="00AA239D"/>
    <w:rsid w:val="00AA2804"/>
    <w:rsid w:val="00AA389F"/>
    <w:rsid w:val="00AA3FB4"/>
    <w:rsid w:val="00AA4FAF"/>
    <w:rsid w:val="00AA5018"/>
    <w:rsid w:val="00AA56CC"/>
    <w:rsid w:val="00AA5B27"/>
    <w:rsid w:val="00AA60FC"/>
    <w:rsid w:val="00AA6415"/>
    <w:rsid w:val="00AA7AB2"/>
    <w:rsid w:val="00AA7E4D"/>
    <w:rsid w:val="00AB0BAB"/>
    <w:rsid w:val="00AB13B2"/>
    <w:rsid w:val="00AB19E8"/>
    <w:rsid w:val="00AB2054"/>
    <w:rsid w:val="00AB2928"/>
    <w:rsid w:val="00AB42D4"/>
    <w:rsid w:val="00AB5938"/>
    <w:rsid w:val="00AB597A"/>
    <w:rsid w:val="00AB59EE"/>
    <w:rsid w:val="00AB63A5"/>
    <w:rsid w:val="00AB6FD4"/>
    <w:rsid w:val="00AB734B"/>
    <w:rsid w:val="00AB77B4"/>
    <w:rsid w:val="00AB7870"/>
    <w:rsid w:val="00AB7A9F"/>
    <w:rsid w:val="00AC0D2B"/>
    <w:rsid w:val="00AC1E4B"/>
    <w:rsid w:val="00AC33CC"/>
    <w:rsid w:val="00AC41D0"/>
    <w:rsid w:val="00AD0249"/>
    <w:rsid w:val="00AD090F"/>
    <w:rsid w:val="00AD20B6"/>
    <w:rsid w:val="00AD2689"/>
    <w:rsid w:val="00AD3817"/>
    <w:rsid w:val="00AD41CE"/>
    <w:rsid w:val="00AD4463"/>
    <w:rsid w:val="00AD4E85"/>
    <w:rsid w:val="00AD56F4"/>
    <w:rsid w:val="00AD610D"/>
    <w:rsid w:val="00AD63E2"/>
    <w:rsid w:val="00AD737C"/>
    <w:rsid w:val="00AD7ADF"/>
    <w:rsid w:val="00AE15D9"/>
    <w:rsid w:val="00AE166F"/>
    <w:rsid w:val="00AE2D4F"/>
    <w:rsid w:val="00AE3365"/>
    <w:rsid w:val="00AE3D62"/>
    <w:rsid w:val="00AE3DBC"/>
    <w:rsid w:val="00AE3FEA"/>
    <w:rsid w:val="00AE51DF"/>
    <w:rsid w:val="00AE5E45"/>
    <w:rsid w:val="00AE68F9"/>
    <w:rsid w:val="00AF0918"/>
    <w:rsid w:val="00AF0EDA"/>
    <w:rsid w:val="00AF195C"/>
    <w:rsid w:val="00AF1D0F"/>
    <w:rsid w:val="00AF2852"/>
    <w:rsid w:val="00AF34CC"/>
    <w:rsid w:val="00AF3862"/>
    <w:rsid w:val="00AF542E"/>
    <w:rsid w:val="00AF64D5"/>
    <w:rsid w:val="00AF65EB"/>
    <w:rsid w:val="00AF6953"/>
    <w:rsid w:val="00AF6BCE"/>
    <w:rsid w:val="00AF739D"/>
    <w:rsid w:val="00B00842"/>
    <w:rsid w:val="00B00C02"/>
    <w:rsid w:val="00B03584"/>
    <w:rsid w:val="00B0443B"/>
    <w:rsid w:val="00B04D6D"/>
    <w:rsid w:val="00B05101"/>
    <w:rsid w:val="00B05EF4"/>
    <w:rsid w:val="00B062E6"/>
    <w:rsid w:val="00B07643"/>
    <w:rsid w:val="00B07AD8"/>
    <w:rsid w:val="00B137D0"/>
    <w:rsid w:val="00B13895"/>
    <w:rsid w:val="00B14495"/>
    <w:rsid w:val="00B1626F"/>
    <w:rsid w:val="00B16B2B"/>
    <w:rsid w:val="00B16B31"/>
    <w:rsid w:val="00B16D19"/>
    <w:rsid w:val="00B173A8"/>
    <w:rsid w:val="00B200A1"/>
    <w:rsid w:val="00B20DDA"/>
    <w:rsid w:val="00B22B0D"/>
    <w:rsid w:val="00B22BE0"/>
    <w:rsid w:val="00B23F64"/>
    <w:rsid w:val="00B247F0"/>
    <w:rsid w:val="00B24B46"/>
    <w:rsid w:val="00B26E87"/>
    <w:rsid w:val="00B27D59"/>
    <w:rsid w:val="00B3070C"/>
    <w:rsid w:val="00B31641"/>
    <w:rsid w:val="00B32C5D"/>
    <w:rsid w:val="00B34CD9"/>
    <w:rsid w:val="00B34CE3"/>
    <w:rsid w:val="00B362A8"/>
    <w:rsid w:val="00B4115A"/>
    <w:rsid w:val="00B425EE"/>
    <w:rsid w:val="00B42E87"/>
    <w:rsid w:val="00B43754"/>
    <w:rsid w:val="00B43767"/>
    <w:rsid w:val="00B446B9"/>
    <w:rsid w:val="00B44F77"/>
    <w:rsid w:val="00B45A9D"/>
    <w:rsid w:val="00B45FE1"/>
    <w:rsid w:val="00B46969"/>
    <w:rsid w:val="00B50E92"/>
    <w:rsid w:val="00B51049"/>
    <w:rsid w:val="00B5118E"/>
    <w:rsid w:val="00B5324B"/>
    <w:rsid w:val="00B5370E"/>
    <w:rsid w:val="00B5384B"/>
    <w:rsid w:val="00B5387D"/>
    <w:rsid w:val="00B54807"/>
    <w:rsid w:val="00B55B4A"/>
    <w:rsid w:val="00B57E28"/>
    <w:rsid w:val="00B616A6"/>
    <w:rsid w:val="00B616C8"/>
    <w:rsid w:val="00B629A5"/>
    <w:rsid w:val="00B63778"/>
    <w:rsid w:val="00B63DB9"/>
    <w:rsid w:val="00B64114"/>
    <w:rsid w:val="00B64619"/>
    <w:rsid w:val="00B64D04"/>
    <w:rsid w:val="00B65595"/>
    <w:rsid w:val="00B663B3"/>
    <w:rsid w:val="00B66CCB"/>
    <w:rsid w:val="00B6740A"/>
    <w:rsid w:val="00B70F3E"/>
    <w:rsid w:val="00B72B11"/>
    <w:rsid w:val="00B73727"/>
    <w:rsid w:val="00B759D5"/>
    <w:rsid w:val="00B75D88"/>
    <w:rsid w:val="00B76843"/>
    <w:rsid w:val="00B76B42"/>
    <w:rsid w:val="00B77274"/>
    <w:rsid w:val="00B77C71"/>
    <w:rsid w:val="00B81646"/>
    <w:rsid w:val="00B824BE"/>
    <w:rsid w:val="00B8265A"/>
    <w:rsid w:val="00B82DDA"/>
    <w:rsid w:val="00B835A3"/>
    <w:rsid w:val="00B83802"/>
    <w:rsid w:val="00B844F4"/>
    <w:rsid w:val="00B8481A"/>
    <w:rsid w:val="00B84C32"/>
    <w:rsid w:val="00B84D85"/>
    <w:rsid w:val="00B85815"/>
    <w:rsid w:val="00B86492"/>
    <w:rsid w:val="00B869CB"/>
    <w:rsid w:val="00B87866"/>
    <w:rsid w:val="00B909C8"/>
    <w:rsid w:val="00B921EE"/>
    <w:rsid w:val="00B92667"/>
    <w:rsid w:val="00B9285E"/>
    <w:rsid w:val="00B93106"/>
    <w:rsid w:val="00B932CC"/>
    <w:rsid w:val="00B9339F"/>
    <w:rsid w:val="00B941C7"/>
    <w:rsid w:val="00B94B26"/>
    <w:rsid w:val="00B96FCA"/>
    <w:rsid w:val="00B97247"/>
    <w:rsid w:val="00B97791"/>
    <w:rsid w:val="00BA1643"/>
    <w:rsid w:val="00BA1976"/>
    <w:rsid w:val="00BA1B27"/>
    <w:rsid w:val="00BA3431"/>
    <w:rsid w:val="00BA440B"/>
    <w:rsid w:val="00BA4F8D"/>
    <w:rsid w:val="00BA5AFD"/>
    <w:rsid w:val="00BA64A7"/>
    <w:rsid w:val="00BA6974"/>
    <w:rsid w:val="00BA6A01"/>
    <w:rsid w:val="00BA7DDA"/>
    <w:rsid w:val="00BB0168"/>
    <w:rsid w:val="00BB26DB"/>
    <w:rsid w:val="00BB3F28"/>
    <w:rsid w:val="00BB68AC"/>
    <w:rsid w:val="00BB71B2"/>
    <w:rsid w:val="00BB7565"/>
    <w:rsid w:val="00BC460A"/>
    <w:rsid w:val="00BC4B00"/>
    <w:rsid w:val="00BC67BF"/>
    <w:rsid w:val="00BC79B7"/>
    <w:rsid w:val="00BC7C3D"/>
    <w:rsid w:val="00BD0BE7"/>
    <w:rsid w:val="00BD1868"/>
    <w:rsid w:val="00BD1F0B"/>
    <w:rsid w:val="00BD2120"/>
    <w:rsid w:val="00BD227E"/>
    <w:rsid w:val="00BD242E"/>
    <w:rsid w:val="00BD283E"/>
    <w:rsid w:val="00BD2BCE"/>
    <w:rsid w:val="00BD3470"/>
    <w:rsid w:val="00BD3BA5"/>
    <w:rsid w:val="00BD6115"/>
    <w:rsid w:val="00BD6247"/>
    <w:rsid w:val="00BD70F5"/>
    <w:rsid w:val="00BD7215"/>
    <w:rsid w:val="00BD7F0F"/>
    <w:rsid w:val="00BE0C51"/>
    <w:rsid w:val="00BE14BD"/>
    <w:rsid w:val="00BE1583"/>
    <w:rsid w:val="00BE3A26"/>
    <w:rsid w:val="00BE49CA"/>
    <w:rsid w:val="00BE502B"/>
    <w:rsid w:val="00BE6DCA"/>
    <w:rsid w:val="00BE6F51"/>
    <w:rsid w:val="00BF0318"/>
    <w:rsid w:val="00BF04E2"/>
    <w:rsid w:val="00BF0CE9"/>
    <w:rsid w:val="00BF140B"/>
    <w:rsid w:val="00BF164D"/>
    <w:rsid w:val="00BF1F10"/>
    <w:rsid w:val="00BF261A"/>
    <w:rsid w:val="00BF2CFE"/>
    <w:rsid w:val="00BF36EC"/>
    <w:rsid w:val="00BF40EB"/>
    <w:rsid w:val="00BF4330"/>
    <w:rsid w:val="00BF4522"/>
    <w:rsid w:val="00BF5177"/>
    <w:rsid w:val="00BF5931"/>
    <w:rsid w:val="00BF6813"/>
    <w:rsid w:val="00C00A81"/>
    <w:rsid w:val="00C01558"/>
    <w:rsid w:val="00C02D59"/>
    <w:rsid w:val="00C03D0E"/>
    <w:rsid w:val="00C04667"/>
    <w:rsid w:val="00C0566C"/>
    <w:rsid w:val="00C064A0"/>
    <w:rsid w:val="00C068AE"/>
    <w:rsid w:val="00C06EA4"/>
    <w:rsid w:val="00C1004B"/>
    <w:rsid w:val="00C10163"/>
    <w:rsid w:val="00C1055C"/>
    <w:rsid w:val="00C106F8"/>
    <w:rsid w:val="00C10989"/>
    <w:rsid w:val="00C1191B"/>
    <w:rsid w:val="00C13F53"/>
    <w:rsid w:val="00C14240"/>
    <w:rsid w:val="00C15A4C"/>
    <w:rsid w:val="00C168E9"/>
    <w:rsid w:val="00C17C77"/>
    <w:rsid w:val="00C20C14"/>
    <w:rsid w:val="00C21B49"/>
    <w:rsid w:val="00C220B3"/>
    <w:rsid w:val="00C22506"/>
    <w:rsid w:val="00C22D5A"/>
    <w:rsid w:val="00C23447"/>
    <w:rsid w:val="00C23A6C"/>
    <w:rsid w:val="00C23BF3"/>
    <w:rsid w:val="00C23CFB"/>
    <w:rsid w:val="00C240A1"/>
    <w:rsid w:val="00C244B0"/>
    <w:rsid w:val="00C24534"/>
    <w:rsid w:val="00C249BD"/>
    <w:rsid w:val="00C24F16"/>
    <w:rsid w:val="00C2675B"/>
    <w:rsid w:val="00C26CBA"/>
    <w:rsid w:val="00C271F6"/>
    <w:rsid w:val="00C2748C"/>
    <w:rsid w:val="00C27678"/>
    <w:rsid w:val="00C305CD"/>
    <w:rsid w:val="00C30C10"/>
    <w:rsid w:val="00C30C84"/>
    <w:rsid w:val="00C3188E"/>
    <w:rsid w:val="00C31FDC"/>
    <w:rsid w:val="00C32925"/>
    <w:rsid w:val="00C32D7C"/>
    <w:rsid w:val="00C34660"/>
    <w:rsid w:val="00C3479A"/>
    <w:rsid w:val="00C34D44"/>
    <w:rsid w:val="00C350BD"/>
    <w:rsid w:val="00C35E8B"/>
    <w:rsid w:val="00C36453"/>
    <w:rsid w:val="00C367FF"/>
    <w:rsid w:val="00C36D70"/>
    <w:rsid w:val="00C36D84"/>
    <w:rsid w:val="00C37428"/>
    <w:rsid w:val="00C37CC5"/>
    <w:rsid w:val="00C37DC0"/>
    <w:rsid w:val="00C40FAC"/>
    <w:rsid w:val="00C40FCE"/>
    <w:rsid w:val="00C41665"/>
    <w:rsid w:val="00C42A1E"/>
    <w:rsid w:val="00C42EEC"/>
    <w:rsid w:val="00C44C35"/>
    <w:rsid w:val="00C46232"/>
    <w:rsid w:val="00C4636F"/>
    <w:rsid w:val="00C46CFF"/>
    <w:rsid w:val="00C47A25"/>
    <w:rsid w:val="00C51129"/>
    <w:rsid w:val="00C513C0"/>
    <w:rsid w:val="00C51E91"/>
    <w:rsid w:val="00C5374E"/>
    <w:rsid w:val="00C53906"/>
    <w:rsid w:val="00C5462A"/>
    <w:rsid w:val="00C54E03"/>
    <w:rsid w:val="00C54EA3"/>
    <w:rsid w:val="00C55031"/>
    <w:rsid w:val="00C55D05"/>
    <w:rsid w:val="00C56AA9"/>
    <w:rsid w:val="00C56DD2"/>
    <w:rsid w:val="00C5737F"/>
    <w:rsid w:val="00C5760E"/>
    <w:rsid w:val="00C57A81"/>
    <w:rsid w:val="00C600E5"/>
    <w:rsid w:val="00C60222"/>
    <w:rsid w:val="00C605E8"/>
    <w:rsid w:val="00C60BF8"/>
    <w:rsid w:val="00C6113F"/>
    <w:rsid w:val="00C6149F"/>
    <w:rsid w:val="00C615F3"/>
    <w:rsid w:val="00C61B50"/>
    <w:rsid w:val="00C62817"/>
    <w:rsid w:val="00C656F2"/>
    <w:rsid w:val="00C659B7"/>
    <w:rsid w:val="00C65A06"/>
    <w:rsid w:val="00C65E03"/>
    <w:rsid w:val="00C664E3"/>
    <w:rsid w:val="00C678B2"/>
    <w:rsid w:val="00C6794E"/>
    <w:rsid w:val="00C67C3E"/>
    <w:rsid w:val="00C703F1"/>
    <w:rsid w:val="00C70445"/>
    <w:rsid w:val="00C727F6"/>
    <w:rsid w:val="00C736D7"/>
    <w:rsid w:val="00C741DC"/>
    <w:rsid w:val="00C751A3"/>
    <w:rsid w:val="00C76300"/>
    <w:rsid w:val="00C765E8"/>
    <w:rsid w:val="00C76B38"/>
    <w:rsid w:val="00C76B81"/>
    <w:rsid w:val="00C76C99"/>
    <w:rsid w:val="00C8066D"/>
    <w:rsid w:val="00C80A33"/>
    <w:rsid w:val="00C8135A"/>
    <w:rsid w:val="00C81407"/>
    <w:rsid w:val="00C8176B"/>
    <w:rsid w:val="00C81DC2"/>
    <w:rsid w:val="00C8244E"/>
    <w:rsid w:val="00C83ECD"/>
    <w:rsid w:val="00C83FAF"/>
    <w:rsid w:val="00C865FC"/>
    <w:rsid w:val="00C900B6"/>
    <w:rsid w:val="00C9240A"/>
    <w:rsid w:val="00C92BBE"/>
    <w:rsid w:val="00C9300B"/>
    <w:rsid w:val="00C93892"/>
    <w:rsid w:val="00C96231"/>
    <w:rsid w:val="00C96A5D"/>
    <w:rsid w:val="00C97C4B"/>
    <w:rsid w:val="00CA0148"/>
    <w:rsid w:val="00CA0D0A"/>
    <w:rsid w:val="00CA11E5"/>
    <w:rsid w:val="00CA1F18"/>
    <w:rsid w:val="00CA263F"/>
    <w:rsid w:val="00CA2D73"/>
    <w:rsid w:val="00CA337A"/>
    <w:rsid w:val="00CA3518"/>
    <w:rsid w:val="00CA35AF"/>
    <w:rsid w:val="00CA39C2"/>
    <w:rsid w:val="00CA58EB"/>
    <w:rsid w:val="00CA6FAA"/>
    <w:rsid w:val="00CA715D"/>
    <w:rsid w:val="00CA71EF"/>
    <w:rsid w:val="00CB101B"/>
    <w:rsid w:val="00CB3BE8"/>
    <w:rsid w:val="00CB45B9"/>
    <w:rsid w:val="00CB48EF"/>
    <w:rsid w:val="00CB5F2C"/>
    <w:rsid w:val="00CB7E00"/>
    <w:rsid w:val="00CC06B8"/>
    <w:rsid w:val="00CC1E1C"/>
    <w:rsid w:val="00CC23BC"/>
    <w:rsid w:val="00CC366E"/>
    <w:rsid w:val="00CC568B"/>
    <w:rsid w:val="00CC5743"/>
    <w:rsid w:val="00CC771D"/>
    <w:rsid w:val="00CC78D7"/>
    <w:rsid w:val="00CD1BDA"/>
    <w:rsid w:val="00CD1C5E"/>
    <w:rsid w:val="00CD1FA2"/>
    <w:rsid w:val="00CD26F9"/>
    <w:rsid w:val="00CD2A1C"/>
    <w:rsid w:val="00CD307D"/>
    <w:rsid w:val="00CD40C6"/>
    <w:rsid w:val="00CD4995"/>
    <w:rsid w:val="00CE03A8"/>
    <w:rsid w:val="00CE0549"/>
    <w:rsid w:val="00CE0824"/>
    <w:rsid w:val="00CE1333"/>
    <w:rsid w:val="00CE3555"/>
    <w:rsid w:val="00CE4112"/>
    <w:rsid w:val="00CE4D29"/>
    <w:rsid w:val="00CE52C2"/>
    <w:rsid w:val="00CE6F38"/>
    <w:rsid w:val="00CE7B9C"/>
    <w:rsid w:val="00CF04F1"/>
    <w:rsid w:val="00CF0813"/>
    <w:rsid w:val="00CF0CD4"/>
    <w:rsid w:val="00CF1729"/>
    <w:rsid w:val="00CF1801"/>
    <w:rsid w:val="00CF4876"/>
    <w:rsid w:val="00CF5434"/>
    <w:rsid w:val="00CF6A57"/>
    <w:rsid w:val="00CF6B37"/>
    <w:rsid w:val="00CF7D5B"/>
    <w:rsid w:val="00D01775"/>
    <w:rsid w:val="00D027CA"/>
    <w:rsid w:val="00D02DEE"/>
    <w:rsid w:val="00D032BA"/>
    <w:rsid w:val="00D048B7"/>
    <w:rsid w:val="00D070A5"/>
    <w:rsid w:val="00D0749E"/>
    <w:rsid w:val="00D07DC9"/>
    <w:rsid w:val="00D13563"/>
    <w:rsid w:val="00D1469A"/>
    <w:rsid w:val="00D14C9E"/>
    <w:rsid w:val="00D15E56"/>
    <w:rsid w:val="00D162EA"/>
    <w:rsid w:val="00D2021D"/>
    <w:rsid w:val="00D20B43"/>
    <w:rsid w:val="00D20E1B"/>
    <w:rsid w:val="00D219A3"/>
    <w:rsid w:val="00D227E4"/>
    <w:rsid w:val="00D22A5E"/>
    <w:rsid w:val="00D22B4D"/>
    <w:rsid w:val="00D2494D"/>
    <w:rsid w:val="00D24C28"/>
    <w:rsid w:val="00D26313"/>
    <w:rsid w:val="00D26B6C"/>
    <w:rsid w:val="00D3106E"/>
    <w:rsid w:val="00D311DD"/>
    <w:rsid w:val="00D32725"/>
    <w:rsid w:val="00D33121"/>
    <w:rsid w:val="00D34EEE"/>
    <w:rsid w:val="00D351F0"/>
    <w:rsid w:val="00D35CAD"/>
    <w:rsid w:val="00D379FC"/>
    <w:rsid w:val="00D4090C"/>
    <w:rsid w:val="00D40C64"/>
    <w:rsid w:val="00D426B8"/>
    <w:rsid w:val="00D432D0"/>
    <w:rsid w:val="00D465E8"/>
    <w:rsid w:val="00D467E8"/>
    <w:rsid w:val="00D477FD"/>
    <w:rsid w:val="00D4795C"/>
    <w:rsid w:val="00D5146E"/>
    <w:rsid w:val="00D53075"/>
    <w:rsid w:val="00D53689"/>
    <w:rsid w:val="00D54C10"/>
    <w:rsid w:val="00D55583"/>
    <w:rsid w:val="00D55A38"/>
    <w:rsid w:val="00D55A87"/>
    <w:rsid w:val="00D55C2C"/>
    <w:rsid w:val="00D560A4"/>
    <w:rsid w:val="00D56275"/>
    <w:rsid w:val="00D56569"/>
    <w:rsid w:val="00D5707A"/>
    <w:rsid w:val="00D60935"/>
    <w:rsid w:val="00D63382"/>
    <w:rsid w:val="00D63918"/>
    <w:rsid w:val="00D63D05"/>
    <w:rsid w:val="00D64BE4"/>
    <w:rsid w:val="00D71207"/>
    <w:rsid w:val="00D7215B"/>
    <w:rsid w:val="00D73371"/>
    <w:rsid w:val="00D73DE0"/>
    <w:rsid w:val="00D7463F"/>
    <w:rsid w:val="00D7492E"/>
    <w:rsid w:val="00D75860"/>
    <w:rsid w:val="00D75B70"/>
    <w:rsid w:val="00D76900"/>
    <w:rsid w:val="00D77AFE"/>
    <w:rsid w:val="00D80110"/>
    <w:rsid w:val="00D806DC"/>
    <w:rsid w:val="00D81134"/>
    <w:rsid w:val="00D81875"/>
    <w:rsid w:val="00D81B6A"/>
    <w:rsid w:val="00D81DF6"/>
    <w:rsid w:val="00D82DED"/>
    <w:rsid w:val="00D83BAB"/>
    <w:rsid w:val="00D83F38"/>
    <w:rsid w:val="00D85290"/>
    <w:rsid w:val="00D85D24"/>
    <w:rsid w:val="00D85DF6"/>
    <w:rsid w:val="00D90856"/>
    <w:rsid w:val="00D91D15"/>
    <w:rsid w:val="00D92485"/>
    <w:rsid w:val="00D92C62"/>
    <w:rsid w:val="00D934F9"/>
    <w:rsid w:val="00D94274"/>
    <w:rsid w:val="00D95882"/>
    <w:rsid w:val="00D96B5F"/>
    <w:rsid w:val="00DA2B0A"/>
    <w:rsid w:val="00DA2C08"/>
    <w:rsid w:val="00DA317B"/>
    <w:rsid w:val="00DA4B80"/>
    <w:rsid w:val="00DA54BB"/>
    <w:rsid w:val="00DA56DA"/>
    <w:rsid w:val="00DA5FDF"/>
    <w:rsid w:val="00DA6C73"/>
    <w:rsid w:val="00DA6D84"/>
    <w:rsid w:val="00DA7402"/>
    <w:rsid w:val="00DA7480"/>
    <w:rsid w:val="00DB0368"/>
    <w:rsid w:val="00DB058F"/>
    <w:rsid w:val="00DB1A03"/>
    <w:rsid w:val="00DB3BB2"/>
    <w:rsid w:val="00DB59E8"/>
    <w:rsid w:val="00DB5B5E"/>
    <w:rsid w:val="00DB6159"/>
    <w:rsid w:val="00DB6759"/>
    <w:rsid w:val="00DB6CAC"/>
    <w:rsid w:val="00DB6F15"/>
    <w:rsid w:val="00DC0909"/>
    <w:rsid w:val="00DC16CA"/>
    <w:rsid w:val="00DC1C49"/>
    <w:rsid w:val="00DC30A4"/>
    <w:rsid w:val="00DC3243"/>
    <w:rsid w:val="00DC4844"/>
    <w:rsid w:val="00DC609F"/>
    <w:rsid w:val="00DC6648"/>
    <w:rsid w:val="00DC6CA1"/>
    <w:rsid w:val="00DD09FC"/>
    <w:rsid w:val="00DD0F66"/>
    <w:rsid w:val="00DD296C"/>
    <w:rsid w:val="00DD29B9"/>
    <w:rsid w:val="00DD3ABD"/>
    <w:rsid w:val="00DD415F"/>
    <w:rsid w:val="00DD55F5"/>
    <w:rsid w:val="00DD6E57"/>
    <w:rsid w:val="00DD772B"/>
    <w:rsid w:val="00DD7F4D"/>
    <w:rsid w:val="00DE175B"/>
    <w:rsid w:val="00DE2AF6"/>
    <w:rsid w:val="00DE3DA9"/>
    <w:rsid w:val="00DE4D44"/>
    <w:rsid w:val="00DE5CD3"/>
    <w:rsid w:val="00DE5DEA"/>
    <w:rsid w:val="00DE78C3"/>
    <w:rsid w:val="00DF062A"/>
    <w:rsid w:val="00DF06C3"/>
    <w:rsid w:val="00DF0863"/>
    <w:rsid w:val="00DF0E55"/>
    <w:rsid w:val="00DF131C"/>
    <w:rsid w:val="00DF20C1"/>
    <w:rsid w:val="00DF2819"/>
    <w:rsid w:val="00DF285D"/>
    <w:rsid w:val="00DF2D64"/>
    <w:rsid w:val="00DF309C"/>
    <w:rsid w:val="00DF32A9"/>
    <w:rsid w:val="00DF3BC7"/>
    <w:rsid w:val="00DF4291"/>
    <w:rsid w:val="00DF42CB"/>
    <w:rsid w:val="00DF44DF"/>
    <w:rsid w:val="00DF5071"/>
    <w:rsid w:val="00DF510B"/>
    <w:rsid w:val="00DF7750"/>
    <w:rsid w:val="00E018FC"/>
    <w:rsid w:val="00E05555"/>
    <w:rsid w:val="00E05A36"/>
    <w:rsid w:val="00E060E0"/>
    <w:rsid w:val="00E064ED"/>
    <w:rsid w:val="00E0686D"/>
    <w:rsid w:val="00E11955"/>
    <w:rsid w:val="00E11E11"/>
    <w:rsid w:val="00E13C8F"/>
    <w:rsid w:val="00E168A7"/>
    <w:rsid w:val="00E175B5"/>
    <w:rsid w:val="00E21833"/>
    <w:rsid w:val="00E231F3"/>
    <w:rsid w:val="00E25D31"/>
    <w:rsid w:val="00E275FE"/>
    <w:rsid w:val="00E312CC"/>
    <w:rsid w:val="00E322C1"/>
    <w:rsid w:val="00E32F40"/>
    <w:rsid w:val="00E344BC"/>
    <w:rsid w:val="00E347C0"/>
    <w:rsid w:val="00E367CF"/>
    <w:rsid w:val="00E37686"/>
    <w:rsid w:val="00E4009F"/>
    <w:rsid w:val="00E40259"/>
    <w:rsid w:val="00E412C4"/>
    <w:rsid w:val="00E41CC1"/>
    <w:rsid w:val="00E428AB"/>
    <w:rsid w:val="00E43925"/>
    <w:rsid w:val="00E45406"/>
    <w:rsid w:val="00E455E4"/>
    <w:rsid w:val="00E45844"/>
    <w:rsid w:val="00E45CCA"/>
    <w:rsid w:val="00E466A8"/>
    <w:rsid w:val="00E4692E"/>
    <w:rsid w:val="00E47E12"/>
    <w:rsid w:val="00E50B4A"/>
    <w:rsid w:val="00E50C06"/>
    <w:rsid w:val="00E52A16"/>
    <w:rsid w:val="00E5307D"/>
    <w:rsid w:val="00E53C52"/>
    <w:rsid w:val="00E5425D"/>
    <w:rsid w:val="00E54DD0"/>
    <w:rsid w:val="00E550DB"/>
    <w:rsid w:val="00E55F7C"/>
    <w:rsid w:val="00E56BB1"/>
    <w:rsid w:val="00E57E07"/>
    <w:rsid w:val="00E60009"/>
    <w:rsid w:val="00E61917"/>
    <w:rsid w:val="00E61EEC"/>
    <w:rsid w:val="00E62871"/>
    <w:rsid w:val="00E65096"/>
    <w:rsid w:val="00E65F3A"/>
    <w:rsid w:val="00E6607D"/>
    <w:rsid w:val="00E6743A"/>
    <w:rsid w:val="00E6758F"/>
    <w:rsid w:val="00E678A2"/>
    <w:rsid w:val="00E7007E"/>
    <w:rsid w:val="00E71765"/>
    <w:rsid w:val="00E7231F"/>
    <w:rsid w:val="00E72E2E"/>
    <w:rsid w:val="00E73490"/>
    <w:rsid w:val="00E73DCE"/>
    <w:rsid w:val="00E75165"/>
    <w:rsid w:val="00E756DE"/>
    <w:rsid w:val="00E7612E"/>
    <w:rsid w:val="00E763B1"/>
    <w:rsid w:val="00E80285"/>
    <w:rsid w:val="00E813A3"/>
    <w:rsid w:val="00E82B23"/>
    <w:rsid w:val="00E83A57"/>
    <w:rsid w:val="00E85788"/>
    <w:rsid w:val="00E86BF9"/>
    <w:rsid w:val="00E86F1B"/>
    <w:rsid w:val="00E87388"/>
    <w:rsid w:val="00E90076"/>
    <w:rsid w:val="00E91278"/>
    <w:rsid w:val="00E91732"/>
    <w:rsid w:val="00E91F53"/>
    <w:rsid w:val="00E92AE4"/>
    <w:rsid w:val="00E92E5D"/>
    <w:rsid w:val="00E932F4"/>
    <w:rsid w:val="00E94D73"/>
    <w:rsid w:val="00E96405"/>
    <w:rsid w:val="00E97093"/>
    <w:rsid w:val="00E97282"/>
    <w:rsid w:val="00EA00A0"/>
    <w:rsid w:val="00EA09FC"/>
    <w:rsid w:val="00EA14AD"/>
    <w:rsid w:val="00EA16A4"/>
    <w:rsid w:val="00EA1847"/>
    <w:rsid w:val="00EA26E9"/>
    <w:rsid w:val="00EA298A"/>
    <w:rsid w:val="00EA2D96"/>
    <w:rsid w:val="00EA2DAF"/>
    <w:rsid w:val="00EA477B"/>
    <w:rsid w:val="00EA4A32"/>
    <w:rsid w:val="00EA4A53"/>
    <w:rsid w:val="00EA503C"/>
    <w:rsid w:val="00EA6610"/>
    <w:rsid w:val="00EA67F1"/>
    <w:rsid w:val="00EA6DAD"/>
    <w:rsid w:val="00EA7099"/>
    <w:rsid w:val="00EB0903"/>
    <w:rsid w:val="00EB0F37"/>
    <w:rsid w:val="00EB0FBB"/>
    <w:rsid w:val="00EB1E7C"/>
    <w:rsid w:val="00EB351C"/>
    <w:rsid w:val="00EB387C"/>
    <w:rsid w:val="00EB3F03"/>
    <w:rsid w:val="00EB545B"/>
    <w:rsid w:val="00EB6EC2"/>
    <w:rsid w:val="00EC0E99"/>
    <w:rsid w:val="00EC3757"/>
    <w:rsid w:val="00EC3776"/>
    <w:rsid w:val="00EC3B36"/>
    <w:rsid w:val="00EC3F2F"/>
    <w:rsid w:val="00EC675F"/>
    <w:rsid w:val="00EC751B"/>
    <w:rsid w:val="00EC77D5"/>
    <w:rsid w:val="00ED0E32"/>
    <w:rsid w:val="00ED2F54"/>
    <w:rsid w:val="00ED30D4"/>
    <w:rsid w:val="00ED36A4"/>
    <w:rsid w:val="00ED4523"/>
    <w:rsid w:val="00ED493D"/>
    <w:rsid w:val="00ED4ACC"/>
    <w:rsid w:val="00ED5011"/>
    <w:rsid w:val="00ED5667"/>
    <w:rsid w:val="00ED5AA7"/>
    <w:rsid w:val="00EE046C"/>
    <w:rsid w:val="00EE7297"/>
    <w:rsid w:val="00EF2A83"/>
    <w:rsid w:val="00EF2C4B"/>
    <w:rsid w:val="00EF4658"/>
    <w:rsid w:val="00EF5FAE"/>
    <w:rsid w:val="00EF62B1"/>
    <w:rsid w:val="00EF69AD"/>
    <w:rsid w:val="00F014C5"/>
    <w:rsid w:val="00F014F1"/>
    <w:rsid w:val="00F01D9B"/>
    <w:rsid w:val="00F02A30"/>
    <w:rsid w:val="00F03599"/>
    <w:rsid w:val="00F035F7"/>
    <w:rsid w:val="00F038CB"/>
    <w:rsid w:val="00F043CE"/>
    <w:rsid w:val="00F05A6D"/>
    <w:rsid w:val="00F064D2"/>
    <w:rsid w:val="00F06935"/>
    <w:rsid w:val="00F10361"/>
    <w:rsid w:val="00F10CC7"/>
    <w:rsid w:val="00F11B55"/>
    <w:rsid w:val="00F133F5"/>
    <w:rsid w:val="00F146FD"/>
    <w:rsid w:val="00F14F77"/>
    <w:rsid w:val="00F1572E"/>
    <w:rsid w:val="00F16E84"/>
    <w:rsid w:val="00F16E92"/>
    <w:rsid w:val="00F20BF6"/>
    <w:rsid w:val="00F21553"/>
    <w:rsid w:val="00F21AE4"/>
    <w:rsid w:val="00F22B26"/>
    <w:rsid w:val="00F255A6"/>
    <w:rsid w:val="00F25892"/>
    <w:rsid w:val="00F26A6C"/>
    <w:rsid w:val="00F26C51"/>
    <w:rsid w:val="00F30BDA"/>
    <w:rsid w:val="00F30F57"/>
    <w:rsid w:val="00F31800"/>
    <w:rsid w:val="00F335C5"/>
    <w:rsid w:val="00F336E2"/>
    <w:rsid w:val="00F34155"/>
    <w:rsid w:val="00F370D1"/>
    <w:rsid w:val="00F37CD2"/>
    <w:rsid w:val="00F40703"/>
    <w:rsid w:val="00F40EDB"/>
    <w:rsid w:val="00F41200"/>
    <w:rsid w:val="00F4188E"/>
    <w:rsid w:val="00F439C4"/>
    <w:rsid w:val="00F44ECD"/>
    <w:rsid w:val="00F45713"/>
    <w:rsid w:val="00F46AA2"/>
    <w:rsid w:val="00F5041F"/>
    <w:rsid w:val="00F504F9"/>
    <w:rsid w:val="00F50D6C"/>
    <w:rsid w:val="00F510C5"/>
    <w:rsid w:val="00F519C2"/>
    <w:rsid w:val="00F51D3D"/>
    <w:rsid w:val="00F53372"/>
    <w:rsid w:val="00F53EA4"/>
    <w:rsid w:val="00F55581"/>
    <w:rsid w:val="00F55C08"/>
    <w:rsid w:val="00F55EAB"/>
    <w:rsid w:val="00F5767B"/>
    <w:rsid w:val="00F57B40"/>
    <w:rsid w:val="00F57EB5"/>
    <w:rsid w:val="00F6027E"/>
    <w:rsid w:val="00F60FFB"/>
    <w:rsid w:val="00F61D88"/>
    <w:rsid w:val="00F62381"/>
    <w:rsid w:val="00F6273D"/>
    <w:rsid w:val="00F64555"/>
    <w:rsid w:val="00F64FD5"/>
    <w:rsid w:val="00F656D6"/>
    <w:rsid w:val="00F65D5E"/>
    <w:rsid w:val="00F66656"/>
    <w:rsid w:val="00F67858"/>
    <w:rsid w:val="00F704DB"/>
    <w:rsid w:val="00F71C9C"/>
    <w:rsid w:val="00F72326"/>
    <w:rsid w:val="00F72479"/>
    <w:rsid w:val="00F727E3"/>
    <w:rsid w:val="00F72C63"/>
    <w:rsid w:val="00F72CE6"/>
    <w:rsid w:val="00F7326C"/>
    <w:rsid w:val="00F7347B"/>
    <w:rsid w:val="00F73C1B"/>
    <w:rsid w:val="00F74E3B"/>
    <w:rsid w:val="00F75352"/>
    <w:rsid w:val="00F75DA7"/>
    <w:rsid w:val="00F76243"/>
    <w:rsid w:val="00F772BD"/>
    <w:rsid w:val="00F7777F"/>
    <w:rsid w:val="00F77BB7"/>
    <w:rsid w:val="00F77E91"/>
    <w:rsid w:val="00F82A9B"/>
    <w:rsid w:val="00F82DAD"/>
    <w:rsid w:val="00F830FC"/>
    <w:rsid w:val="00F83EC6"/>
    <w:rsid w:val="00F84271"/>
    <w:rsid w:val="00F85CAA"/>
    <w:rsid w:val="00F90BEC"/>
    <w:rsid w:val="00F91B4E"/>
    <w:rsid w:val="00F92622"/>
    <w:rsid w:val="00F928F1"/>
    <w:rsid w:val="00F92F97"/>
    <w:rsid w:val="00F94A9C"/>
    <w:rsid w:val="00F94C72"/>
    <w:rsid w:val="00F9567E"/>
    <w:rsid w:val="00F9572F"/>
    <w:rsid w:val="00F95AA3"/>
    <w:rsid w:val="00FA06C7"/>
    <w:rsid w:val="00FA1A2C"/>
    <w:rsid w:val="00FA1F0C"/>
    <w:rsid w:val="00FA2C22"/>
    <w:rsid w:val="00FA3375"/>
    <w:rsid w:val="00FA3799"/>
    <w:rsid w:val="00FA5708"/>
    <w:rsid w:val="00FA7551"/>
    <w:rsid w:val="00FA7573"/>
    <w:rsid w:val="00FB09A4"/>
    <w:rsid w:val="00FB0B9F"/>
    <w:rsid w:val="00FB42CD"/>
    <w:rsid w:val="00FB5128"/>
    <w:rsid w:val="00FB5FE8"/>
    <w:rsid w:val="00FB6228"/>
    <w:rsid w:val="00FB6A7B"/>
    <w:rsid w:val="00FB7086"/>
    <w:rsid w:val="00FC2257"/>
    <w:rsid w:val="00FC357A"/>
    <w:rsid w:val="00FC35CD"/>
    <w:rsid w:val="00FC48BB"/>
    <w:rsid w:val="00FC4CB9"/>
    <w:rsid w:val="00FC4DEA"/>
    <w:rsid w:val="00FC57DB"/>
    <w:rsid w:val="00FC59B9"/>
    <w:rsid w:val="00FC5E49"/>
    <w:rsid w:val="00FC6D2F"/>
    <w:rsid w:val="00FC7419"/>
    <w:rsid w:val="00FC7892"/>
    <w:rsid w:val="00FD00E8"/>
    <w:rsid w:val="00FD180D"/>
    <w:rsid w:val="00FD2A23"/>
    <w:rsid w:val="00FD2BB4"/>
    <w:rsid w:val="00FD3BF6"/>
    <w:rsid w:val="00FD46B5"/>
    <w:rsid w:val="00FD4AC9"/>
    <w:rsid w:val="00FD6BB9"/>
    <w:rsid w:val="00FD7478"/>
    <w:rsid w:val="00FD7EB9"/>
    <w:rsid w:val="00FE0127"/>
    <w:rsid w:val="00FE0584"/>
    <w:rsid w:val="00FE0EE7"/>
    <w:rsid w:val="00FE1809"/>
    <w:rsid w:val="00FE1F27"/>
    <w:rsid w:val="00FE286A"/>
    <w:rsid w:val="00FE2910"/>
    <w:rsid w:val="00FE2D3A"/>
    <w:rsid w:val="00FE312D"/>
    <w:rsid w:val="00FE3880"/>
    <w:rsid w:val="00FE3A1B"/>
    <w:rsid w:val="00FE3DA4"/>
    <w:rsid w:val="00FE4D7F"/>
    <w:rsid w:val="00FE5324"/>
    <w:rsid w:val="00FE5BC5"/>
    <w:rsid w:val="00FE62C9"/>
    <w:rsid w:val="00FE6D0B"/>
    <w:rsid w:val="00FF0279"/>
    <w:rsid w:val="00FF18A5"/>
    <w:rsid w:val="00FF2696"/>
    <w:rsid w:val="00FF48D6"/>
    <w:rsid w:val="00FF4FFB"/>
    <w:rsid w:val="00FF534F"/>
    <w:rsid w:val="00FF628C"/>
    <w:rsid w:val="014B2A57"/>
    <w:rsid w:val="015549A6"/>
    <w:rsid w:val="0183504A"/>
    <w:rsid w:val="01DA2246"/>
    <w:rsid w:val="021F4265"/>
    <w:rsid w:val="02617E08"/>
    <w:rsid w:val="02D41C85"/>
    <w:rsid w:val="03217B69"/>
    <w:rsid w:val="034C78A4"/>
    <w:rsid w:val="03B15391"/>
    <w:rsid w:val="03E21A7C"/>
    <w:rsid w:val="03F317F7"/>
    <w:rsid w:val="0463331D"/>
    <w:rsid w:val="04820ADC"/>
    <w:rsid w:val="04DC01EC"/>
    <w:rsid w:val="05391C88"/>
    <w:rsid w:val="053973EC"/>
    <w:rsid w:val="05607B37"/>
    <w:rsid w:val="05804A32"/>
    <w:rsid w:val="05AD48C9"/>
    <w:rsid w:val="05E355AA"/>
    <w:rsid w:val="061B4E4B"/>
    <w:rsid w:val="06FF2D33"/>
    <w:rsid w:val="076E0181"/>
    <w:rsid w:val="07B924DE"/>
    <w:rsid w:val="07C5140B"/>
    <w:rsid w:val="080A5EBF"/>
    <w:rsid w:val="08646E76"/>
    <w:rsid w:val="08D43847"/>
    <w:rsid w:val="09555A8B"/>
    <w:rsid w:val="095A48E7"/>
    <w:rsid w:val="09DB3A4C"/>
    <w:rsid w:val="0A181964"/>
    <w:rsid w:val="0A1B17B6"/>
    <w:rsid w:val="0A307BEE"/>
    <w:rsid w:val="0A3B3C06"/>
    <w:rsid w:val="0A431CFA"/>
    <w:rsid w:val="0A4F1714"/>
    <w:rsid w:val="0A8B585C"/>
    <w:rsid w:val="0A963282"/>
    <w:rsid w:val="0AAA48E8"/>
    <w:rsid w:val="0B105ABE"/>
    <w:rsid w:val="0B1C6237"/>
    <w:rsid w:val="0B462863"/>
    <w:rsid w:val="0B9B4FF5"/>
    <w:rsid w:val="0C0054E2"/>
    <w:rsid w:val="0C6C00A7"/>
    <w:rsid w:val="0CC92D54"/>
    <w:rsid w:val="0CCE0D2E"/>
    <w:rsid w:val="0CD914B5"/>
    <w:rsid w:val="0D822F5A"/>
    <w:rsid w:val="0D876D61"/>
    <w:rsid w:val="0D927329"/>
    <w:rsid w:val="0DBE0DD6"/>
    <w:rsid w:val="0E016F15"/>
    <w:rsid w:val="0E25165B"/>
    <w:rsid w:val="0E850184"/>
    <w:rsid w:val="0EC02D14"/>
    <w:rsid w:val="0EF10D38"/>
    <w:rsid w:val="0F3D7391"/>
    <w:rsid w:val="0FBE5034"/>
    <w:rsid w:val="0FC1070A"/>
    <w:rsid w:val="0FF96F98"/>
    <w:rsid w:val="101822F4"/>
    <w:rsid w:val="102869DB"/>
    <w:rsid w:val="10321E6B"/>
    <w:rsid w:val="104F21BA"/>
    <w:rsid w:val="10E02E12"/>
    <w:rsid w:val="10E23D0B"/>
    <w:rsid w:val="10F90377"/>
    <w:rsid w:val="123048E2"/>
    <w:rsid w:val="12CC69DA"/>
    <w:rsid w:val="12D60129"/>
    <w:rsid w:val="132973F6"/>
    <w:rsid w:val="132C0754"/>
    <w:rsid w:val="13503EF0"/>
    <w:rsid w:val="13E72483"/>
    <w:rsid w:val="1455141A"/>
    <w:rsid w:val="14860BF1"/>
    <w:rsid w:val="148B4636"/>
    <w:rsid w:val="1492515E"/>
    <w:rsid w:val="14C52911"/>
    <w:rsid w:val="14E86739"/>
    <w:rsid w:val="14ED01F3"/>
    <w:rsid w:val="1519674C"/>
    <w:rsid w:val="15267261"/>
    <w:rsid w:val="153316B4"/>
    <w:rsid w:val="153865DB"/>
    <w:rsid w:val="153A4457"/>
    <w:rsid w:val="156214C9"/>
    <w:rsid w:val="156F6F4B"/>
    <w:rsid w:val="15AE5AC9"/>
    <w:rsid w:val="15D417BC"/>
    <w:rsid w:val="15FB06EE"/>
    <w:rsid w:val="163F250D"/>
    <w:rsid w:val="16484EA1"/>
    <w:rsid w:val="165E3157"/>
    <w:rsid w:val="16A65CAE"/>
    <w:rsid w:val="16C73A06"/>
    <w:rsid w:val="16FA2F46"/>
    <w:rsid w:val="178F5592"/>
    <w:rsid w:val="17E13C4C"/>
    <w:rsid w:val="17F031FC"/>
    <w:rsid w:val="180C6BE2"/>
    <w:rsid w:val="18537F60"/>
    <w:rsid w:val="1888270D"/>
    <w:rsid w:val="18934906"/>
    <w:rsid w:val="18C40C93"/>
    <w:rsid w:val="19232435"/>
    <w:rsid w:val="19E353A2"/>
    <w:rsid w:val="1A495284"/>
    <w:rsid w:val="1A7E20B1"/>
    <w:rsid w:val="1A835312"/>
    <w:rsid w:val="1AC20499"/>
    <w:rsid w:val="1ADA6B24"/>
    <w:rsid w:val="1B065B6B"/>
    <w:rsid w:val="1B2D1349"/>
    <w:rsid w:val="1B7B7553"/>
    <w:rsid w:val="1BB6F1B1"/>
    <w:rsid w:val="1BB96A42"/>
    <w:rsid w:val="1BBD711C"/>
    <w:rsid w:val="1BD17F27"/>
    <w:rsid w:val="1C3E5861"/>
    <w:rsid w:val="1C856F63"/>
    <w:rsid w:val="1CBD04AB"/>
    <w:rsid w:val="1CC7132A"/>
    <w:rsid w:val="1CD11B3C"/>
    <w:rsid w:val="1CD203FA"/>
    <w:rsid w:val="1CDA6499"/>
    <w:rsid w:val="1D973138"/>
    <w:rsid w:val="1E061CFD"/>
    <w:rsid w:val="1E1B2A55"/>
    <w:rsid w:val="1E202EB4"/>
    <w:rsid w:val="1E592455"/>
    <w:rsid w:val="1E7D2189"/>
    <w:rsid w:val="1E894AE9"/>
    <w:rsid w:val="1EA2204E"/>
    <w:rsid w:val="1F2C25CC"/>
    <w:rsid w:val="1F330EF8"/>
    <w:rsid w:val="1FB931AC"/>
    <w:rsid w:val="1FBC7140"/>
    <w:rsid w:val="1FD762FC"/>
    <w:rsid w:val="1FFC60CD"/>
    <w:rsid w:val="2040567B"/>
    <w:rsid w:val="2054286B"/>
    <w:rsid w:val="206F41B2"/>
    <w:rsid w:val="209D2809"/>
    <w:rsid w:val="20C04A0E"/>
    <w:rsid w:val="20C370B9"/>
    <w:rsid w:val="20E48BF1"/>
    <w:rsid w:val="217D645B"/>
    <w:rsid w:val="21893C8E"/>
    <w:rsid w:val="21B32AF8"/>
    <w:rsid w:val="22272EE5"/>
    <w:rsid w:val="224213C4"/>
    <w:rsid w:val="2265607F"/>
    <w:rsid w:val="22717D52"/>
    <w:rsid w:val="22721D38"/>
    <w:rsid w:val="229451CA"/>
    <w:rsid w:val="22E52A65"/>
    <w:rsid w:val="22F27141"/>
    <w:rsid w:val="234731C4"/>
    <w:rsid w:val="23534E73"/>
    <w:rsid w:val="2398742E"/>
    <w:rsid w:val="239A7798"/>
    <w:rsid w:val="23EA3988"/>
    <w:rsid w:val="254354B7"/>
    <w:rsid w:val="255B0195"/>
    <w:rsid w:val="257B0F0F"/>
    <w:rsid w:val="25C24D84"/>
    <w:rsid w:val="25DF0293"/>
    <w:rsid w:val="26092728"/>
    <w:rsid w:val="26543C2E"/>
    <w:rsid w:val="26795443"/>
    <w:rsid w:val="26DF4DEB"/>
    <w:rsid w:val="27545CF0"/>
    <w:rsid w:val="27C27623"/>
    <w:rsid w:val="2873308B"/>
    <w:rsid w:val="28C55931"/>
    <w:rsid w:val="28FB2327"/>
    <w:rsid w:val="29226266"/>
    <w:rsid w:val="295E4B7D"/>
    <w:rsid w:val="297B28CB"/>
    <w:rsid w:val="2987256D"/>
    <w:rsid w:val="29F3674D"/>
    <w:rsid w:val="2A4D77F2"/>
    <w:rsid w:val="2A767865"/>
    <w:rsid w:val="2A9F18D0"/>
    <w:rsid w:val="2B06091F"/>
    <w:rsid w:val="2B3E6C5B"/>
    <w:rsid w:val="2BA11DB9"/>
    <w:rsid w:val="2BCC4267"/>
    <w:rsid w:val="2BFA0DD4"/>
    <w:rsid w:val="2C2877C1"/>
    <w:rsid w:val="2C8911FE"/>
    <w:rsid w:val="2C8C39F6"/>
    <w:rsid w:val="2CA25C26"/>
    <w:rsid w:val="2CB1704A"/>
    <w:rsid w:val="2CC17B44"/>
    <w:rsid w:val="2CDF37DC"/>
    <w:rsid w:val="2CE17C23"/>
    <w:rsid w:val="2CF0513A"/>
    <w:rsid w:val="2D317E71"/>
    <w:rsid w:val="2D433235"/>
    <w:rsid w:val="2D7352E2"/>
    <w:rsid w:val="2DA65010"/>
    <w:rsid w:val="2DAA682A"/>
    <w:rsid w:val="2E8033DA"/>
    <w:rsid w:val="2EA66FF1"/>
    <w:rsid w:val="2EB601AA"/>
    <w:rsid w:val="2F3E3646"/>
    <w:rsid w:val="2F633134"/>
    <w:rsid w:val="2F7C57F0"/>
    <w:rsid w:val="2FB466DB"/>
    <w:rsid w:val="2FB94F7E"/>
    <w:rsid w:val="2FF86F4C"/>
    <w:rsid w:val="30104898"/>
    <w:rsid w:val="308B46F0"/>
    <w:rsid w:val="30C85944"/>
    <w:rsid w:val="30EE433C"/>
    <w:rsid w:val="312D7FBC"/>
    <w:rsid w:val="3132502E"/>
    <w:rsid w:val="31911A69"/>
    <w:rsid w:val="31AC691A"/>
    <w:rsid w:val="322E3398"/>
    <w:rsid w:val="325767D4"/>
    <w:rsid w:val="32F11A1F"/>
    <w:rsid w:val="333077D1"/>
    <w:rsid w:val="339D48A3"/>
    <w:rsid w:val="33EC194A"/>
    <w:rsid w:val="342033A2"/>
    <w:rsid w:val="3498710C"/>
    <w:rsid w:val="34A2025B"/>
    <w:rsid w:val="34DF2F1B"/>
    <w:rsid w:val="34ED1D7D"/>
    <w:rsid w:val="350902DA"/>
    <w:rsid w:val="352938FB"/>
    <w:rsid w:val="3547335B"/>
    <w:rsid w:val="3588593F"/>
    <w:rsid w:val="359F0C3E"/>
    <w:rsid w:val="35C45D5A"/>
    <w:rsid w:val="35DD2505"/>
    <w:rsid w:val="35F067E9"/>
    <w:rsid w:val="36891BEE"/>
    <w:rsid w:val="36DC3C76"/>
    <w:rsid w:val="37503F9E"/>
    <w:rsid w:val="37622A54"/>
    <w:rsid w:val="377920ED"/>
    <w:rsid w:val="37E27AA8"/>
    <w:rsid w:val="386341A5"/>
    <w:rsid w:val="38A3357C"/>
    <w:rsid w:val="38A5656B"/>
    <w:rsid w:val="38BF7016"/>
    <w:rsid w:val="38C5276A"/>
    <w:rsid w:val="38E055DF"/>
    <w:rsid w:val="396F26D5"/>
    <w:rsid w:val="3A0E0A45"/>
    <w:rsid w:val="3A3C50D7"/>
    <w:rsid w:val="3A732315"/>
    <w:rsid w:val="3A80103E"/>
    <w:rsid w:val="3A801562"/>
    <w:rsid w:val="3B287A38"/>
    <w:rsid w:val="3B4B362F"/>
    <w:rsid w:val="3B4D0803"/>
    <w:rsid w:val="3B5322AF"/>
    <w:rsid w:val="3B563B4D"/>
    <w:rsid w:val="3B5D4EDB"/>
    <w:rsid w:val="3B697D24"/>
    <w:rsid w:val="3B800EA0"/>
    <w:rsid w:val="3BE56BFF"/>
    <w:rsid w:val="3BFA6BCE"/>
    <w:rsid w:val="3C0E5615"/>
    <w:rsid w:val="3C5B7DA1"/>
    <w:rsid w:val="3C7E335B"/>
    <w:rsid w:val="3C9457F4"/>
    <w:rsid w:val="3CD04124"/>
    <w:rsid w:val="3CF25AF7"/>
    <w:rsid w:val="3D1E069A"/>
    <w:rsid w:val="3D3A69CA"/>
    <w:rsid w:val="3D42082D"/>
    <w:rsid w:val="3D485696"/>
    <w:rsid w:val="3D5642D8"/>
    <w:rsid w:val="3D8B7DA6"/>
    <w:rsid w:val="3E206400"/>
    <w:rsid w:val="3E344619"/>
    <w:rsid w:val="3E3C527C"/>
    <w:rsid w:val="3EFC7254"/>
    <w:rsid w:val="3EFF7E2C"/>
    <w:rsid w:val="3F146478"/>
    <w:rsid w:val="3F1A262D"/>
    <w:rsid w:val="3F5C2AEC"/>
    <w:rsid w:val="3F624324"/>
    <w:rsid w:val="3F9E76C2"/>
    <w:rsid w:val="3FDD483D"/>
    <w:rsid w:val="3FFF720C"/>
    <w:rsid w:val="40183AC7"/>
    <w:rsid w:val="403A3A3D"/>
    <w:rsid w:val="403F2E94"/>
    <w:rsid w:val="40955117"/>
    <w:rsid w:val="40981EAE"/>
    <w:rsid w:val="40D21EC7"/>
    <w:rsid w:val="40DE09B9"/>
    <w:rsid w:val="40E75148"/>
    <w:rsid w:val="40F2314B"/>
    <w:rsid w:val="40F45368"/>
    <w:rsid w:val="41167959"/>
    <w:rsid w:val="415648A7"/>
    <w:rsid w:val="41B252DD"/>
    <w:rsid w:val="41CF030D"/>
    <w:rsid w:val="42961264"/>
    <w:rsid w:val="430D71E7"/>
    <w:rsid w:val="4314168D"/>
    <w:rsid w:val="43352619"/>
    <w:rsid w:val="43860D47"/>
    <w:rsid w:val="43AF029E"/>
    <w:rsid w:val="43CE6126"/>
    <w:rsid w:val="43E961DF"/>
    <w:rsid w:val="43EF408A"/>
    <w:rsid w:val="443045CD"/>
    <w:rsid w:val="44323283"/>
    <w:rsid w:val="44CE29A6"/>
    <w:rsid w:val="451707F1"/>
    <w:rsid w:val="45216DDF"/>
    <w:rsid w:val="457E261E"/>
    <w:rsid w:val="464953F2"/>
    <w:rsid w:val="4685178A"/>
    <w:rsid w:val="46A165C4"/>
    <w:rsid w:val="46E313E2"/>
    <w:rsid w:val="46F9001F"/>
    <w:rsid w:val="475A2C17"/>
    <w:rsid w:val="47EC7861"/>
    <w:rsid w:val="47FC6E4F"/>
    <w:rsid w:val="48374514"/>
    <w:rsid w:val="48F2194F"/>
    <w:rsid w:val="48F44645"/>
    <w:rsid w:val="49092C21"/>
    <w:rsid w:val="49396F88"/>
    <w:rsid w:val="49575660"/>
    <w:rsid w:val="496D7BA8"/>
    <w:rsid w:val="499B29D8"/>
    <w:rsid w:val="49A92E41"/>
    <w:rsid w:val="49E14F29"/>
    <w:rsid w:val="49E8450A"/>
    <w:rsid w:val="4A440BCB"/>
    <w:rsid w:val="4A491854"/>
    <w:rsid w:val="4A881849"/>
    <w:rsid w:val="4A902354"/>
    <w:rsid w:val="4A930919"/>
    <w:rsid w:val="4AA1441B"/>
    <w:rsid w:val="4AC67A0D"/>
    <w:rsid w:val="4ADD1D6D"/>
    <w:rsid w:val="4B06735B"/>
    <w:rsid w:val="4B0C247A"/>
    <w:rsid w:val="4BD82B7F"/>
    <w:rsid w:val="4C3422A3"/>
    <w:rsid w:val="4C3D7BB0"/>
    <w:rsid w:val="4C467DE3"/>
    <w:rsid w:val="4C742085"/>
    <w:rsid w:val="4C8D7405"/>
    <w:rsid w:val="4C9E35A6"/>
    <w:rsid w:val="4CA87CCA"/>
    <w:rsid w:val="4CC0176E"/>
    <w:rsid w:val="4CC5050B"/>
    <w:rsid w:val="4CDB5302"/>
    <w:rsid w:val="4D0E24D9"/>
    <w:rsid w:val="4D242E3E"/>
    <w:rsid w:val="4DF35EB9"/>
    <w:rsid w:val="4E037916"/>
    <w:rsid w:val="4E1E04FA"/>
    <w:rsid w:val="4E2F6BAB"/>
    <w:rsid w:val="4ECF0A49"/>
    <w:rsid w:val="4EE74D90"/>
    <w:rsid w:val="4F1E452A"/>
    <w:rsid w:val="4F263D7D"/>
    <w:rsid w:val="4F5D1F56"/>
    <w:rsid w:val="4F645D62"/>
    <w:rsid w:val="4F7255D7"/>
    <w:rsid w:val="4F843AC1"/>
    <w:rsid w:val="4FDE41CB"/>
    <w:rsid w:val="4FE81398"/>
    <w:rsid w:val="50355FCF"/>
    <w:rsid w:val="504B57F2"/>
    <w:rsid w:val="504F7091"/>
    <w:rsid w:val="5076286F"/>
    <w:rsid w:val="5086479D"/>
    <w:rsid w:val="50FD5237"/>
    <w:rsid w:val="510E006A"/>
    <w:rsid w:val="51621046"/>
    <w:rsid w:val="51AD61EC"/>
    <w:rsid w:val="51CC15EF"/>
    <w:rsid w:val="51FFA632"/>
    <w:rsid w:val="521966A1"/>
    <w:rsid w:val="522D3402"/>
    <w:rsid w:val="522F72AB"/>
    <w:rsid w:val="52DB2E5E"/>
    <w:rsid w:val="5352281D"/>
    <w:rsid w:val="537B3573"/>
    <w:rsid w:val="537D141E"/>
    <w:rsid w:val="53E6A83C"/>
    <w:rsid w:val="5447306A"/>
    <w:rsid w:val="547A2892"/>
    <w:rsid w:val="548412D3"/>
    <w:rsid w:val="54AA6B2D"/>
    <w:rsid w:val="54B41BB8"/>
    <w:rsid w:val="54F60DFD"/>
    <w:rsid w:val="54F77CF7"/>
    <w:rsid w:val="54F97290"/>
    <w:rsid w:val="5503702A"/>
    <w:rsid w:val="554A15FF"/>
    <w:rsid w:val="55763D8B"/>
    <w:rsid w:val="55A00C5A"/>
    <w:rsid w:val="55A7171D"/>
    <w:rsid w:val="55AF1596"/>
    <w:rsid w:val="55EC5382"/>
    <w:rsid w:val="560C223C"/>
    <w:rsid w:val="56657940"/>
    <w:rsid w:val="569E4025"/>
    <w:rsid w:val="56E9366F"/>
    <w:rsid w:val="56EE738B"/>
    <w:rsid w:val="57116C03"/>
    <w:rsid w:val="57426EAB"/>
    <w:rsid w:val="575B180F"/>
    <w:rsid w:val="581110D0"/>
    <w:rsid w:val="58B072D5"/>
    <w:rsid w:val="58F50F85"/>
    <w:rsid w:val="597D6869"/>
    <w:rsid w:val="599C04BB"/>
    <w:rsid w:val="5A3817D2"/>
    <w:rsid w:val="5A6172E4"/>
    <w:rsid w:val="5A6E45B7"/>
    <w:rsid w:val="5A702DFA"/>
    <w:rsid w:val="5A9976A4"/>
    <w:rsid w:val="5B4C7CB8"/>
    <w:rsid w:val="5B55334C"/>
    <w:rsid w:val="5BA07D05"/>
    <w:rsid w:val="5BEB2131"/>
    <w:rsid w:val="5C423F4D"/>
    <w:rsid w:val="5C4763CB"/>
    <w:rsid w:val="5C5B1929"/>
    <w:rsid w:val="5CCB2469"/>
    <w:rsid w:val="5CD01559"/>
    <w:rsid w:val="5CF74D74"/>
    <w:rsid w:val="5D105298"/>
    <w:rsid w:val="5D220E38"/>
    <w:rsid w:val="5D231CA9"/>
    <w:rsid w:val="5D375134"/>
    <w:rsid w:val="5DDB286C"/>
    <w:rsid w:val="5DF23751"/>
    <w:rsid w:val="5E535FF2"/>
    <w:rsid w:val="5E9B4F41"/>
    <w:rsid w:val="5EB312A5"/>
    <w:rsid w:val="5F0E25B0"/>
    <w:rsid w:val="5F1229EB"/>
    <w:rsid w:val="5F294F51"/>
    <w:rsid w:val="5F4130AA"/>
    <w:rsid w:val="5FB92B44"/>
    <w:rsid w:val="5FD65B68"/>
    <w:rsid w:val="60762418"/>
    <w:rsid w:val="60EF7453"/>
    <w:rsid w:val="611A0602"/>
    <w:rsid w:val="611F3664"/>
    <w:rsid w:val="613F4986"/>
    <w:rsid w:val="61450D60"/>
    <w:rsid w:val="61475976"/>
    <w:rsid w:val="61627D4A"/>
    <w:rsid w:val="6184468C"/>
    <w:rsid w:val="61954857"/>
    <w:rsid w:val="61C176C2"/>
    <w:rsid w:val="62416B14"/>
    <w:rsid w:val="624273A6"/>
    <w:rsid w:val="62742987"/>
    <w:rsid w:val="62796C6B"/>
    <w:rsid w:val="63236D1D"/>
    <w:rsid w:val="6393508F"/>
    <w:rsid w:val="640F3025"/>
    <w:rsid w:val="641B57B0"/>
    <w:rsid w:val="644C3BBB"/>
    <w:rsid w:val="64F78085"/>
    <w:rsid w:val="65101494"/>
    <w:rsid w:val="654C7BEB"/>
    <w:rsid w:val="661029C7"/>
    <w:rsid w:val="66C0263F"/>
    <w:rsid w:val="66E5EAC0"/>
    <w:rsid w:val="67013718"/>
    <w:rsid w:val="6744501E"/>
    <w:rsid w:val="67513297"/>
    <w:rsid w:val="679F9CBA"/>
    <w:rsid w:val="67A41C8D"/>
    <w:rsid w:val="684B5F38"/>
    <w:rsid w:val="694E2184"/>
    <w:rsid w:val="69F04EEF"/>
    <w:rsid w:val="6A2E5398"/>
    <w:rsid w:val="6A852492"/>
    <w:rsid w:val="6AD40467"/>
    <w:rsid w:val="6B6A4927"/>
    <w:rsid w:val="6B6F018F"/>
    <w:rsid w:val="6BD57513"/>
    <w:rsid w:val="6C507FC1"/>
    <w:rsid w:val="6C5A0715"/>
    <w:rsid w:val="6CB01D6B"/>
    <w:rsid w:val="6CD47472"/>
    <w:rsid w:val="6CD4F6E6"/>
    <w:rsid w:val="6D0D53C0"/>
    <w:rsid w:val="6D0E456A"/>
    <w:rsid w:val="6D7B79BF"/>
    <w:rsid w:val="6D924450"/>
    <w:rsid w:val="6DB86364"/>
    <w:rsid w:val="6DD82A77"/>
    <w:rsid w:val="6E092803"/>
    <w:rsid w:val="6E210636"/>
    <w:rsid w:val="6E7C5B46"/>
    <w:rsid w:val="6EA840E4"/>
    <w:rsid w:val="6EF2084C"/>
    <w:rsid w:val="6EF44F04"/>
    <w:rsid w:val="6F1418F7"/>
    <w:rsid w:val="6F1662BB"/>
    <w:rsid w:val="6F3272EC"/>
    <w:rsid w:val="6F5B3F79"/>
    <w:rsid w:val="6F6171EC"/>
    <w:rsid w:val="6F651FD5"/>
    <w:rsid w:val="6FC31D7D"/>
    <w:rsid w:val="6FC84312"/>
    <w:rsid w:val="7069490C"/>
    <w:rsid w:val="709219B5"/>
    <w:rsid w:val="70A9249D"/>
    <w:rsid w:val="70DB30B2"/>
    <w:rsid w:val="710B0E1E"/>
    <w:rsid w:val="714E0847"/>
    <w:rsid w:val="71633B00"/>
    <w:rsid w:val="71651E23"/>
    <w:rsid w:val="717E2EDA"/>
    <w:rsid w:val="71B0484E"/>
    <w:rsid w:val="71D23226"/>
    <w:rsid w:val="720F58BF"/>
    <w:rsid w:val="722C0861"/>
    <w:rsid w:val="723B0DCB"/>
    <w:rsid w:val="725C5B2A"/>
    <w:rsid w:val="72966949"/>
    <w:rsid w:val="72B40723"/>
    <w:rsid w:val="72CB7510"/>
    <w:rsid w:val="72D059B7"/>
    <w:rsid w:val="732F216D"/>
    <w:rsid w:val="735268BD"/>
    <w:rsid w:val="73BA67EE"/>
    <w:rsid w:val="73BC47DD"/>
    <w:rsid w:val="73D90133"/>
    <w:rsid w:val="74301124"/>
    <w:rsid w:val="7460317C"/>
    <w:rsid w:val="74A43817"/>
    <w:rsid w:val="74CA0452"/>
    <w:rsid w:val="755509F0"/>
    <w:rsid w:val="758C1281"/>
    <w:rsid w:val="75923BE6"/>
    <w:rsid w:val="75B91D5F"/>
    <w:rsid w:val="76F52B38"/>
    <w:rsid w:val="77352372"/>
    <w:rsid w:val="77456AE1"/>
    <w:rsid w:val="77DD4321"/>
    <w:rsid w:val="78737052"/>
    <w:rsid w:val="78AA6CAB"/>
    <w:rsid w:val="78B97226"/>
    <w:rsid w:val="78C60ABA"/>
    <w:rsid w:val="78D15FE5"/>
    <w:rsid w:val="791F1447"/>
    <w:rsid w:val="79400579"/>
    <w:rsid w:val="797645D3"/>
    <w:rsid w:val="79B5251F"/>
    <w:rsid w:val="79E98267"/>
    <w:rsid w:val="7A1239FE"/>
    <w:rsid w:val="7A7D6BE6"/>
    <w:rsid w:val="7AE378AD"/>
    <w:rsid w:val="7BB120FE"/>
    <w:rsid w:val="7BD30B71"/>
    <w:rsid w:val="7BFEE445"/>
    <w:rsid w:val="7C077F70"/>
    <w:rsid w:val="7C7F1F07"/>
    <w:rsid w:val="7C80189D"/>
    <w:rsid w:val="7CA68D93"/>
    <w:rsid w:val="7CAA7279"/>
    <w:rsid w:val="7CB50B42"/>
    <w:rsid w:val="7CD80717"/>
    <w:rsid w:val="7CE3301F"/>
    <w:rsid w:val="7CEB3F97"/>
    <w:rsid w:val="7CFE1373"/>
    <w:rsid w:val="7D1B30E6"/>
    <w:rsid w:val="7D2F7912"/>
    <w:rsid w:val="7DCD708E"/>
    <w:rsid w:val="7E1601C6"/>
    <w:rsid w:val="7E5D7DE7"/>
    <w:rsid w:val="7E6C2038"/>
    <w:rsid w:val="7EA06B86"/>
    <w:rsid w:val="7EF7AB41"/>
    <w:rsid w:val="7EFE3254"/>
    <w:rsid w:val="7F162688"/>
    <w:rsid w:val="7F5E7A8E"/>
    <w:rsid w:val="7F74591C"/>
    <w:rsid w:val="7FB328E9"/>
    <w:rsid w:val="7FC51B88"/>
    <w:rsid w:val="7FCB341A"/>
    <w:rsid w:val="7FDD3512"/>
    <w:rsid w:val="7FEF82AA"/>
    <w:rsid w:val="7FFE0B06"/>
    <w:rsid w:val="B1774CDA"/>
    <w:rsid w:val="B37B8543"/>
    <w:rsid w:val="B37DB742"/>
    <w:rsid w:val="BFDF31E0"/>
    <w:rsid w:val="CBFEECC3"/>
    <w:rsid w:val="D5BCF77C"/>
    <w:rsid w:val="D5F38D65"/>
    <w:rsid w:val="D73E95D2"/>
    <w:rsid w:val="DF7FFF94"/>
    <w:rsid w:val="E4FF29C3"/>
    <w:rsid w:val="E7C63634"/>
    <w:rsid w:val="ECFDB4C5"/>
    <w:rsid w:val="F1B4B72E"/>
    <w:rsid w:val="F77F5D1B"/>
    <w:rsid w:val="F7AB9CCA"/>
    <w:rsid w:val="FB3EFC68"/>
    <w:rsid w:val="FBF53AEA"/>
    <w:rsid w:val="FECC0A83"/>
    <w:rsid w:val="FFCFCBF8"/>
    <w:rsid w:val="FFEDC377"/>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nhideWhenUsed="0" w:uiPriority="0" w:semiHidden="0" w:name="heading 4"/>
    <w:lsdException w:qFormat="1" w:unhideWhenUsed="0" w:uiPriority="0" w:semiHidden="0" w:name="heading 5"/>
    <w:lsdException w:qFormat="1" w:unhideWhenUsed="0" w:uiPriority="0" w:semiHidden="0" w:name="heading 6"/>
    <w:lsdException w:qFormat="1" w:unhideWhenUsed="0" w:uiPriority="0" w:semiHidden="0" w:name="heading 7"/>
    <w:lsdException w:qFormat="1" w:unhideWhenUsed="0" w:uiPriority="0" w:semiHidden="0" w:name="heading 8"/>
    <w:lsdException w:qFormat="1" w:unhideWhenUsed="0" w:uiPriority="0" w:semiHidden="0" w:name="heading 9"/>
    <w:lsdException w:qFormat="1" w:unhideWhenUsed="0" w:uiPriority="0" w:semiHidden="0" w:name="index 1"/>
    <w:lsdException w:qFormat="1" w:unhideWhenUsed="0" w:uiPriority="0" w:semiHidden="0" w:name="index 2"/>
    <w:lsdException w:qFormat="1" w:unhideWhenUsed="0" w:uiPriority="0" w:semiHidden="0" w:name="index 3"/>
    <w:lsdException w:qFormat="1" w:unhideWhenUsed="0" w:uiPriority="0" w:semiHidden="0" w:name="index 4"/>
    <w:lsdException w:qFormat="1" w:unhideWhenUsed="0" w:uiPriority="0" w:semiHidden="0" w:name="index 5"/>
    <w:lsdException w:qFormat="1" w:unhideWhenUsed="0" w:uiPriority="0" w:semiHidden="0" w:name="index 6"/>
    <w:lsdException w:qFormat="1" w:unhideWhenUsed="0" w:uiPriority="0" w:semiHidden="0" w:name="index 7"/>
    <w:lsdException w:qFormat="1" w:unhideWhenUsed="0" w:uiPriority="0" w:semiHidden="0" w:name="index 8"/>
    <w:lsdException w:qFormat="1"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qFormat="1" w:unhideWhenUsed="0" w:uiPriority="0" w:semiHidden="0" w:name="toc 4"/>
    <w:lsdException w:qFormat="1" w:unhideWhenUsed="0" w:uiPriority="0" w:semiHidden="0" w:name="toc 5"/>
    <w:lsdException w:qFormat="1" w:unhideWhenUsed="0" w:uiPriority="0" w:semiHidden="0" w:name="toc 6"/>
    <w:lsdException w:qFormat="1" w:unhideWhenUsed="0" w:uiPriority="0" w:semiHidden="0" w:name="toc 7"/>
    <w:lsdException w:qFormat="1" w:unhideWhenUsed="0" w:uiPriority="0" w:semiHidden="0" w:name="toc 8"/>
    <w:lsdException w:qFormat="1" w:unhideWhenUsed="0" w:uiPriority="0" w:semiHidden="0" w:name="toc 9"/>
    <w:lsdException w:qFormat="1" w:unhideWhenUsed="0" w:uiPriority="0" w:semiHidden="0" w:name="Normal Indent"/>
    <w:lsdException w:qFormat="1" w:unhideWhenUsed="0" w:uiPriority="0" w:semiHidden="0"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qFormat="1" w:unhideWhenUsed="0" w:uiPriority="0" w:semiHidden="0" w:name="index heading"/>
    <w:lsdException w:qFormat="1" w:unhideWhenUsed="0" w:uiPriority="0" w:semiHidden="0" w:name="caption"/>
    <w:lsdException w:qFormat="1" w:unhideWhenUsed="0" w:uiPriority="0" w:semiHidden="0" w:name="table of figures"/>
    <w:lsdException w:unhideWhenUsed="0" w:uiPriority="0" w:semiHidden="0" w:name="envelope address"/>
    <w:lsdException w:unhideWhenUsed="0" w:uiPriority="0" w:semiHidden="0" w:name="envelope return"/>
    <w:lsdException w:qFormat="1" w:unhideWhenUsed="0" w:uiPriority="0" w:semiHidden="0" w:name="footnote reference"/>
    <w:lsdException w:qFormat="1" w:unhideWhenUsed="0" w:uiPriority="0" w:semiHidden="0" w:name="annotation reference"/>
    <w:lsdException w:unhideWhenUsed="0" w:uiPriority="0" w:semiHidden="0" w:name="line number"/>
    <w:lsdException w:qFormat="1" w:unhideWhenUsed="0" w:uiPriority="0" w:semiHidden="0" w:name="page number"/>
    <w:lsdException w:qFormat="1" w:unhideWhenUsed="0" w:uiPriority="0" w:semiHidden="0" w:name="endnote reference"/>
    <w:lsdException w:qFormat="1" w:unhideWhenUsed="0" w:uiPriority="0" w:semiHidden="0" w:name="endnote text"/>
    <w:lsdException w:qFormat="1" w:unhideWhenUsed="0" w:uiPriority="0" w:semiHidden="0" w:name="table of authorities"/>
    <w:lsdException w:qFormat="1" w:unhideWhenUsed="0" w:uiPriority="0" w:semiHidden="0" w:name="macro"/>
    <w:lsdException w:unhideWhenUsed="0" w:uiPriority="0" w:semiHidden="0" w:name="toa heading"/>
    <w:lsdException w:qFormat="1" w:unhideWhenUsed="0" w:uiPriority="0" w:semiHidden="0" w:name="List"/>
    <w:lsdException w:qFormat="1" w:unhideWhenUsed="0" w:uiPriority="0" w:semiHidden="0" w:name="List Bullet"/>
    <w:lsdException w:qFormat="1" w:unhideWhenUsed="0" w:uiPriority="0" w:semiHidden="0" w:name="List Number"/>
    <w:lsdException w:qFormat="1" w:unhideWhenUsed="0" w:uiPriority="0" w:semiHidden="0" w:name="List 2"/>
    <w:lsdException w:qFormat="1" w:unhideWhenUsed="0" w:uiPriority="0" w:semiHidden="0" w:name="List 3"/>
    <w:lsdException w:unhideWhenUsed="0" w:uiPriority="0" w:semiHidden="0" w:name="List 4"/>
    <w:lsdException w:unhideWhenUsed="0" w:uiPriority="0" w:semiHidden="0" w:name="List 5"/>
    <w:lsdException w:qFormat="1" w:unhideWhenUsed="0" w:uiPriority="0" w:semiHidden="0" w:name="List Bullet 2"/>
    <w:lsdException w:qFormat="1" w:unhideWhenUsed="0" w:uiPriority="0" w:semiHidden="0" w:name="List Bullet 3"/>
    <w:lsdException w:qFormat="1" w:unhideWhenUsed="0" w:uiPriority="0" w:semiHidden="0" w:name="List Bullet 4"/>
    <w:lsdException w:unhideWhenUsed="0" w:uiPriority="0" w:semiHidden="0" w:name="List Bullet 5"/>
    <w:lsdException w:qFormat="1" w:unhideWhenUsed="0" w:uiPriority="0" w:semiHidden="0" w:name="List Number 2"/>
    <w:lsdException w:qFormat="1"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qFormat="1" w:unhideWhenUsed="0" w:uiPriority="0" w:semiHidden="0" w:name="Body Text"/>
    <w:lsdException w:qFormat="1" w:unhideWhenUsed="0" w:uiPriority="0" w:semiHidden="0" w:name="Body Text Indent"/>
    <w:lsdException w:qFormat="1" w:unhideWhenUsed="0" w:uiPriority="0" w:semiHidden="0" w:name="List Continue"/>
    <w:lsdException w:qFormat="1" w:unhideWhenUsed="0" w:uiPriority="0" w:semiHidden="0" w:name="List Continue 2"/>
    <w:lsdException w:qFormat="1" w:unhideWhenUsed="0" w:uiPriority="0" w:semiHidden="0" w:name="List Continue 3"/>
    <w:lsdException w:qFormat="1"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qFormat="1" w:unhideWhenUsed="0" w:uiPriority="0" w:semiHidden="0" w:name="Date"/>
    <w:lsdException w:qFormat="1" w:unhideWhenUsed="0" w:uiPriority="0" w:semiHidden="0" w:name="Body Text First Indent"/>
    <w:lsdException w:qFormat="1" w:unhideWhenUsed="0" w:uiPriority="0" w:semiHidden="0" w:name="Body Text First Indent 2"/>
    <w:lsdException w:qFormat="1" w:unhideWhenUsed="0" w:uiPriority="0" w:semiHidden="0" w:name="Note Heading"/>
    <w:lsdException w:qFormat="1" w:unhideWhenUsed="0" w:uiPriority="0" w:semiHidden="0" w:name="Body Text 2"/>
    <w:lsdException w:qFormat="1" w:unhideWhenUsed="0" w:uiPriority="0" w:semiHidden="0" w:name="Body Text 3"/>
    <w:lsdException w:qFormat="1" w:unhideWhenUsed="0" w:uiPriority="0" w:semiHidden="0" w:name="Body Text Indent 2"/>
    <w:lsdException w:qFormat="1" w:unhideWhenUsed="0" w:uiPriority="0" w:semiHidden="0" w:name="Body Text Indent 3"/>
    <w:lsdException w:unhideWhenUsed="0" w:uiPriority="0" w:semiHidden="0" w:name="Block Text"/>
    <w:lsdException w:qFormat="1" w:unhideWhenUsed="0" w:uiPriority="99" w:semiHidden="0" w:name="Hyperlink"/>
    <w:lsdException w:qFormat="1" w:unhideWhenUsed="0" w:uiPriority="0" w:semiHidden="0" w:name="FollowedHyperlink"/>
    <w:lsdException w:qFormat="1" w:unhideWhenUsed="0" w:uiPriority="0" w:semiHidden="0" w:name="Strong"/>
    <w:lsdException w:qFormat="1" w:unhideWhenUsed="0" w:uiPriority="0" w:semiHidden="0" w:name="Emphasis"/>
    <w:lsdException w:qFormat="1" w:unhideWhenUsed="0" w:uiPriority="0" w:semiHidden="0" w:name="Document Map"/>
    <w:lsdException w:qFormat="1" w:unhideWhenUsed="0" w:uiPriority="0" w:semiHidden="0" w:name="Plain Text"/>
    <w:lsdException w:unhideWhenUsed="0" w:uiPriority="0" w:semiHidden="0" w:name="E-mail Signature"/>
    <w:lsdException w:qFormat="1" w:unhideWhenUsed="0" w:uiPriority="0" w:semiHidden="0" w:name="Normal (Web)"/>
    <w:lsdException w:qFormat="1" w:unhideWhenUsed="0" w:uiPriority="0" w:semiHidden="0" w:name="HTML Acronym"/>
    <w:lsdException w:qFormat="1" w:unhideWhenUsed="0" w:uiPriority="0" w:semiHidden="0" w:name="HTML Address"/>
    <w:lsdException w:qFormat="1" w:unhideWhenUsed="0" w:uiPriority="0" w:semiHidden="0" w:name="HTML Cite"/>
    <w:lsdException w:qFormat="1" w:unhideWhenUsed="0" w:uiPriority="0" w:semiHidden="0" w:name="HTML Code"/>
    <w:lsdException w:qFormat="1" w:unhideWhenUsed="0" w:uiPriority="0" w:semiHidden="0" w:name="HTML Definition"/>
    <w:lsdException w:qFormat="1" w:unhideWhenUsed="0" w:uiPriority="0" w:semiHidden="0" w:name="HTML Keyboard"/>
    <w:lsdException w:qFormat="1" w:unhideWhenUsed="0" w:uiPriority="0" w:semiHidden="0" w:name="HTML Preformatted"/>
    <w:lsdException w:qFormat="1" w:unhideWhenUsed="0" w:uiPriority="0" w:semiHidden="0" w:name="HTML Sample"/>
    <w:lsdException w:qFormat="1" w:unhideWhenUsed="0" w:uiPriority="0" w:semiHidden="0" w:name="HTML Typewriter"/>
    <w:lsdException w:qFormat="1" w:unhideWhenUsed="0" w:uiPriority="0" w:semiHidden="0" w:name="HTML Variable"/>
    <w:lsdException w:qFormat="1" w:unhideWhenUsed="0" w:uiPriority="0" w:name="Normal Table"/>
    <w:lsdException w:qFormat="1"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qFormat="1" w:unhideWhenUsed="0" w:uiPriority="0" w:semiHidden="0" w:name="Balloon Text"/>
    <w:lsdException w:qFormat="1"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0"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topLinePunct/>
      <w:adjustRightInd w:val="0"/>
      <w:jc w:val="both"/>
    </w:pPr>
    <w:rPr>
      <w:rFonts w:ascii="Times New Roman" w:hAnsi="Times New Roman" w:eastAsia="宋体" w:cs="Times New Roman"/>
      <w:kern w:val="2"/>
      <w:sz w:val="21"/>
      <w:lang w:val="en-US" w:eastAsia="zh-CN" w:bidi="ar-SA"/>
    </w:rPr>
  </w:style>
  <w:style w:type="paragraph" w:styleId="4">
    <w:name w:val="heading 1"/>
    <w:basedOn w:val="1"/>
    <w:next w:val="1"/>
    <w:link w:val="94"/>
    <w:qFormat/>
    <w:uiPriority w:val="0"/>
    <w:pPr>
      <w:keepNext/>
      <w:keepLines/>
      <w:spacing w:before="340" w:beforeLines="0" w:beforeAutospacing="0" w:after="330" w:afterLines="0" w:afterAutospacing="0" w:line="576" w:lineRule="auto"/>
      <w:outlineLvl w:val="0"/>
    </w:pPr>
    <w:rPr>
      <w:b/>
      <w:kern w:val="44"/>
      <w:sz w:val="44"/>
    </w:rPr>
  </w:style>
  <w:style w:type="paragraph" w:styleId="2">
    <w:name w:val="heading 2"/>
    <w:basedOn w:val="1"/>
    <w:next w:val="1"/>
    <w:link w:val="93"/>
    <w:qFormat/>
    <w:uiPriority w:val="0"/>
    <w:pPr>
      <w:keepNext/>
      <w:keepLines/>
      <w:numPr>
        <w:ilvl w:val="1"/>
        <w:numId w:val="1"/>
      </w:numPr>
      <w:tabs>
        <w:tab w:val="left" w:pos="420"/>
      </w:tabs>
      <w:spacing w:before="260" w:after="260" w:line="413" w:lineRule="auto"/>
      <w:outlineLvl w:val="1"/>
    </w:pPr>
    <w:rPr>
      <w:rFonts w:ascii="Arial" w:hAnsi="Arial" w:eastAsia="黑体"/>
      <w:b/>
      <w:sz w:val="32"/>
    </w:rPr>
  </w:style>
  <w:style w:type="paragraph" w:styleId="5">
    <w:name w:val="heading 3"/>
    <w:basedOn w:val="1"/>
    <w:next w:val="1"/>
    <w:link w:val="95"/>
    <w:qFormat/>
    <w:uiPriority w:val="0"/>
    <w:pPr>
      <w:keepNext/>
      <w:keepLines/>
      <w:spacing w:before="260" w:beforeLines="0" w:beforeAutospacing="0" w:after="260" w:afterLines="0" w:afterAutospacing="0" w:line="413" w:lineRule="auto"/>
      <w:outlineLvl w:val="2"/>
    </w:pPr>
    <w:rPr>
      <w:b/>
      <w:sz w:val="32"/>
    </w:rPr>
  </w:style>
  <w:style w:type="paragraph" w:styleId="6">
    <w:name w:val="heading 4"/>
    <w:basedOn w:val="1"/>
    <w:next w:val="1"/>
    <w:link w:val="96"/>
    <w:qFormat/>
    <w:uiPriority w:val="0"/>
    <w:pPr>
      <w:keepNext/>
      <w:keepLines/>
      <w:spacing w:before="280" w:beforeLines="0" w:beforeAutospacing="0" w:after="290" w:afterLines="0" w:afterAutospacing="0" w:line="372" w:lineRule="auto"/>
      <w:outlineLvl w:val="3"/>
    </w:pPr>
    <w:rPr>
      <w:rFonts w:ascii="Arial" w:hAnsi="Arial" w:eastAsia="黑体"/>
      <w:b/>
      <w:sz w:val="28"/>
    </w:rPr>
  </w:style>
  <w:style w:type="paragraph" w:styleId="7">
    <w:name w:val="heading 5"/>
    <w:basedOn w:val="1"/>
    <w:next w:val="1"/>
    <w:link w:val="97"/>
    <w:qFormat/>
    <w:uiPriority w:val="0"/>
    <w:pPr>
      <w:keepNext/>
      <w:keepLines/>
      <w:spacing w:before="280" w:beforeLines="0" w:beforeAutospacing="0" w:after="290" w:afterLines="0" w:afterAutospacing="0" w:line="372" w:lineRule="auto"/>
      <w:outlineLvl w:val="4"/>
    </w:pPr>
    <w:rPr>
      <w:b/>
      <w:sz w:val="28"/>
    </w:rPr>
  </w:style>
  <w:style w:type="paragraph" w:styleId="8">
    <w:name w:val="heading 6"/>
    <w:basedOn w:val="1"/>
    <w:next w:val="1"/>
    <w:qFormat/>
    <w:uiPriority w:val="0"/>
    <w:pPr>
      <w:keepNext/>
      <w:keepLines/>
      <w:spacing w:before="240" w:beforeLines="0" w:beforeAutospacing="0" w:after="64" w:afterLines="0" w:afterAutospacing="0" w:line="317" w:lineRule="auto"/>
      <w:outlineLvl w:val="5"/>
    </w:pPr>
    <w:rPr>
      <w:rFonts w:ascii="Arial" w:hAnsi="Arial" w:eastAsia="黑体"/>
      <w:b/>
      <w:sz w:val="24"/>
    </w:rPr>
  </w:style>
  <w:style w:type="paragraph" w:styleId="9">
    <w:name w:val="heading 7"/>
    <w:basedOn w:val="1"/>
    <w:next w:val="1"/>
    <w:qFormat/>
    <w:uiPriority w:val="0"/>
    <w:pPr>
      <w:keepNext/>
      <w:keepLines/>
      <w:spacing w:before="240" w:beforeLines="0" w:beforeAutospacing="0" w:after="64" w:afterLines="0" w:afterAutospacing="0" w:line="317" w:lineRule="auto"/>
      <w:outlineLvl w:val="6"/>
    </w:pPr>
    <w:rPr>
      <w:b/>
      <w:sz w:val="24"/>
    </w:rPr>
  </w:style>
  <w:style w:type="paragraph" w:styleId="10">
    <w:name w:val="heading 8"/>
    <w:basedOn w:val="1"/>
    <w:next w:val="1"/>
    <w:qFormat/>
    <w:uiPriority w:val="0"/>
    <w:pPr>
      <w:keepNext/>
      <w:keepLines/>
      <w:spacing w:before="240" w:beforeLines="0" w:beforeAutospacing="0" w:after="64" w:afterLines="0" w:afterAutospacing="0" w:line="317" w:lineRule="auto"/>
      <w:outlineLvl w:val="7"/>
    </w:pPr>
    <w:rPr>
      <w:rFonts w:ascii="Arial" w:hAnsi="Arial" w:eastAsia="黑体"/>
      <w:sz w:val="24"/>
    </w:rPr>
  </w:style>
  <w:style w:type="paragraph" w:styleId="11">
    <w:name w:val="heading 9"/>
    <w:basedOn w:val="1"/>
    <w:next w:val="1"/>
    <w:qFormat/>
    <w:uiPriority w:val="0"/>
    <w:pPr>
      <w:keepNext/>
      <w:keepLines/>
      <w:spacing w:before="240" w:beforeLines="0" w:beforeAutospacing="0" w:after="64" w:afterLines="0" w:afterAutospacing="0" w:line="317" w:lineRule="auto"/>
      <w:outlineLvl w:val="8"/>
    </w:pPr>
    <w:rPr>
      <w:rFonts w:ascii="Arial" w:hAnsi="Arial" w:eastAsia="黑体"/>
    </w:rPr>
  </w:style>
  <w:style w:type="character" w:default="1" w:styleId="76">
    <w:name w:val="Default Paragraph Font"/>
    <w:qFormat/>
    <w:uiPriority w:val="0"/>
  </w:style>
  <w:style w:type="table" w:default="1" w:styleId="74">
    <w:name w:val="Normal Table"/>
    <w:semiHidden/>
    <w:qFormat/>
    <w:uiPriority w:val="0"/>
    <w:pPr>
      <w:keepNext w:val="0"/>
      <w:keepLines w:val="0"/>
      <w:widowControl/>
      <w:suppressLineNumbers w:val="0"/>
      <w:spacing w:before="0" w:beforeAutospacing="0" w:after="0" w:afterAutospacing="0"/>
      <w:ind w:left="0" w:right="0"/>
    </w:pPr>
    <w:rPr>
      <w:rFonts w:hint="default" w:ascii="Calibri" w:hAnsi="Calibri" w:cs="Times New Roman"/>
      <w:sz w:val="20"/>
      <w:szCs w:val="20"/>
    </w:rPr>
    <w:tblPr>
      <w:tblCellMar>
        <w:top w:w="0" w:type="dxa"/>
        <w:left w:w="108" w:type="dxa"/>
        <w:bottom w:w="0" w:type="dxa"/>
        <w:right w:w="108" w:type="dxa"/>
      </w:tblCellMar>
    </w:tblPr>
  </w:style>
  <w:style w:type="paragraph" w:styleId="3">
    <w:name w:val="macro"/>
    <w:basedOn w:val="1"/>
    <w:qFormat/>
    <w:uiPriority w:val="0"/>
    <w:pPr>
      <w:widowControl/>
      <w:topLinePunct w:val="0"/>
      <w:adjustRightInd/>
      <w:spacing w:line="300" w:lineRule="auto"/>
      <w:jc w:val="left"/>
    </w:pPr>
    <w:rPr>
      <w:rFonts w:ascii="Courier New" w:hAnsi="Courier New"/>
      <w:kern w:val="0"/>
    </w:rPr>
  </w:style>
  <w:style w:type="paragraph" w:styleId="12">
    <w:name w:val="List 3"/>
    <w:basedOn w:val="1"/>
    <w:qFormat/>
    <w:uiPriority w:val="0"/>
    <w:pPr>
      <w:topLinePunct w:val="0"/>
      <w:adjustRightInd/>
      <w:spacing w:line="300" w:lineRule="auto"/>
      <w:ind w:left="100" w:leftChars="400" w:hanging="200" w:hangingChars="200"/>
    </w:pPr>
    <w:rPr>
      <w:rFonts w:ascii="Arial" w:hAnsi="Arial"/>
    </w:rPr>
  </w:style>
  <w:style w:type="paragraph" w:styleId="13">
    <w:name w:val="toc 7"/>
    <w:basedOn w:val="14"/>
    <w:qFormat/>
    <w:uiPriority w:val="0"/>
    <w:pPr>
      <w:tabs>
        <w:tab w:val="right" w:leader="dot" w:pos="9345"/>
      </w:tabs>
      <w:ind w:left="1260"/>
    </w:pPr>
  </w:style>
  <w:style w:type="paragraph" w:styleId="14">
    <w:name w:val="toc 6"/>
    <w:basedOn w:val="15"/>
    <w:qFormat/>
    <w:uiPriority w:val="0"/>
    <w:pPr>
      <w:tabs>
        <w:tab w:val="right" w:leader="dot" w:pos="9345"/>
      </w:tabs>
      <w:ind w:left="1050"/>
    </w:pPr>
  </w:style>
  <w:style w:type="paragraph" w:styleId="15">
    <w:name w:val="toc 5"/>
    <w:basedOn w:val="16"/>
    <w:qFormat/>
    <w:uiPriority w:val="0"/>
    <w:pPr>
      <w:tabs>
        <w:tab w:val="right" w:leader="dot" w:pos="9345"/>
      </w:tabs>
      <w:ind w:left="840"/>
    </w:pPr>
  </w:style>
  <w:style w:type="paragraph" w:styleId="16">
    <w:name w:val="toc 4"/>
    <w:basedOn w:val="17"/>
    <w:qFormat/>
    <w:uiPriority w:val="0"/>
    <w:pPr>
      <w:tabs>
        <w:tab w:val="right" w:leader="dot" w:pos="9345"/>
      </w:tabs>
      <w:ind w:left="630"/>
    </w:pPr>
    <w:rPr>
      <w:i/>
    </w:rPr>
  </w:style>
  <w:style w:type="paragraph" w:styleId="17">
    <w:name w:val="toc 3"/>
    <w:basedOn w:val="1"/>
    <w:next w:val="1"/>
    <w:qFormat/>
    <w:uiPriority w:val="39"/>
    <w:pPr>
      <w:tabs>
        <w:tab w:val="right" w:leader="dot" w:pos="9345"/>
      </w:tabs>
      <w:ind w:left="0"/>
    </w:pPr>
    <w:rPr>
      <w:rFonts w:ascii="宋体" w:hAnsi="宋体"/>
      <w:b/>
      <w:smallCaps/>
    </w:rPr>
  </w:style>
  <w:style w:type="paragraph" w:styleId="18">
    <w:name w:val="List Number 2"/>
    <w:basedOn w:val="1"/>
    <w:qFormat/>
    <w:uiPriority w:val="0"/>
    <w:pPr>
      <w:tabs>
        <w:tab w:val="left" w:pos="1133"/>
      </w:tabs>
      <w:topLinePunct w:val="0"/>
      <w:adjustRightInd/>
      <w:spacing w:before="31" w:beforeLines="10" w:beforeAutospacing="0" w:line="312" w:lineRule="auto"/>
      <w:ind w:left="1133" w:hanging="334"/>
    </w:pPr>
    <w:rPr>
      <w:rFonts w:ascii="Arial" w:hAnsi="Arial"/>
      <w:kern w:val="0"/>
    </w:rPr>
  </w:style>
  <w:style w:type="paragraph" w:styleId="19">
    <w:name w:val="table of authorities"/>
    <w:basedOn w:val="1"/>
    <w:next w:val="1"/>
    <w:qFormat/>
    <w:uiPriority w:val="0"/>
    <w:pPr>
      <w:topLinePunct w:val="0"/>
      <w:adjustRightInd/>
      <w:spacing w:line="300" w:lineRule="auto"/>
      <w:ind w:left="420"/>
    </w:pPr>
    <w:rPr>
      <w:rFonts w:ascii="Arial" w:hAnsi="Arial"/>
    </w:rPr>
  </w:style>
  <w:style w:type="paragraph" w:styleId="20">
    <w:name w:val="Note Heading"/>
    <w:basedOn w:val="1"/>
    <w:next w:val="1"/>
    <w:qFormat/>
    <w:uiPriority w:val="0"/>
    <w:pPr>
      <w:topLinePunct w:val="0"/>
      <w:adjustRightInd/>
      <w:spacing w:before="78" w:beforeLines="25" w:beforeAutospacing="0" w:after="78" w:afterLines="25" w:afterAutospacing="0"/>
      <w:jc w:val="center"/>
    </w:pPr>
    <w:rPr>
      <w:rFonts w:ascii="Arial" w:hAnsi="Arial" w:eastAsia="黑体"/>
    </w:rPr>
  </w:style>
  <w:style w:type="paragraph" w:styleId="21">
    <w:name w:val="List Bullet 4"/>
    <w:basedOn w:val="1"/>
    <w:qFormat/>
    <w:uiPriority w:val="0"/>
    <w:pPr>
      <w:tabs>
        <w:tab w:val="left" w:pos="1758"/>
      </w:tabs>
      <w:topLinePunct w:val="0"/>
      <w:adjustRightInd/>
      <w:spacing w:line="300" w:lineRule="auto"/>
      <w:ind w:left="1758" w:hanging="397"/>
    </w:pPr>
    <w:rPr>
      <w:rFonts w:ascii="Arial" w:hAnsi="Arial"/>
      <w:sz w:val="24"/>
    </w:rPr>
  </w:style>
  <w:style w:type="paragraph" w:styleId="22">
    <w:name w:val="index 8"/>
    <w:basedOn w:val="1"/>
    <w:next w:val="1"/>
    <w:qFormat/>
    <w:uiPriority w:val="0"/>
    <w:pPr>
      <w:topLinePunct w:val="0"/>
      <w:adjustRightInd/>
      <w:spacing w:line="300" w:lineRule="auto"/>
      <w:ind w:left="2940"/>
    </w:pPr>
    <w:rPr>
      <w:rFonts w:ascii="Arial" w:hAnsi="Arial"/>
    </w:rPr>
  </w:style>
  <w:style w:type="paragraph" w:styleId="23">
    <w:name w:val="List Number"/>
    <w:basedOn w:val="24"/>
    <w:qFormat/>
    <w:uiPriority w:val="0"/>
    <w:pPr>
      <w:widowControl/>
      <w:spacing w:before="31" w:beforeLines="10" w:beforeAutospacing="0" w:line="312" w:lineRule="auto"/>
      <w:ind w:left="0" w:firstLine="0" w:firstLineChars="0"/>
    </w:pPr>
    <w:rPr>
      <w:rFonts w:ascii="Arial" w:hAnsi="Arial"/>
      <w:kern w:val="0"/>
    </w:rPr>
  </w:style>
  <w:style w:type="paragraph" w:styleId="24">
    <w:name w:val="List"/>
    <w:basedOn w:val="1"/>
    <w:qFormat/>
    <w:uiPriority w:val="0"/>
    <w:pPr>
      <w:topLinePunct w:val="0"/>
      <w:adjustRightInd/>
      <w:spacing w:line="360" w:lineRule="auto"/>
      <w:ind w:left="200" w:hanging="200" w:hangingChars="200"/>
    </w:pPr>
  </w:style>
  <w:style w:type="paragraph" w:styleId="25">
    <w:name w:val="Normal Indent"/>
    <w:basedOn w:val="1"/>
    <w:qFormat/>
    <w:uiPriority w:val="0"/>
    <w:pPr>
      <w:spacing w:line="400" w:lineRule="exact"/>
      <w:ind w:firstLine="200" w:firstLineChars="200"/>
    </w:pPr>
    <w:rPr>
      <w:sz w:val="24"/>
    </w:rPr>
  </w:style>
  <w:style w:type="paragraph" w:styleId="26">
    <w:name w:val="caption"/>
    <w:basedOn w:val="1"/>
    <w:next w:val="1"/>
    <w:qFormat/>
    <w:uiPriority w:val="0"/>
    <w:pPr>
      <w:topLinePunct w:val="0"/>
      <w:adjustRightInd/>
      <w:spacing w:before="152" w:beforeLines="0" w:beforeAutospacing="0" w:after="240" w:afterLines="0" w:afterAutospacing="0" w:line="300" w:lineRule="auto"/>
      <w:jc w:val="center"/>
    </w:pPr>
    <w:rPr>
      <w:rFonts w:ascii="Arial" w:hAnsi="Arial" w:eastAsia="黑体"/>
      <w:sz w:val="24"/>
    </w:rPr>
  </w:style>
  <w:style w:type="paragraph" w:styleId="27">
    <w:name w:val="index 5"/>
    <w:basedOn w:val="1"/>
    <w:next w:val="1"/>
    <w:qFormat/>
    <w:uiPriority w:val="0"/>
    <w:pPr>
      <w:topLinePunct w:val="0"/>
      <w:adjustRightInd/>
      <w:spacing w:line="300" w:lineRule="auto"/>
      <w:ind w:left="1680"/>
    </w:pPr>
    <w:rPr>
      <w:rFonts w:ascii="Arial" w:hAnsi="Arial"/>
    </w:rPr>
  </w:style>
  <w:style w:type="paragraph" w:styleId="28">
    <w:name w:val="List Bullet"/>
    <w:basedOn w:val="1"/>
    <w:qFormat/>
    <w:uiPriority w:val="0"/>
    <w:pPr>
      <w:topLinePunct w:val="0"/>
      <w:adjustRightInd/>
      <w:spacing w:line="300" w:lineRule="auto"/>
    </w:pPr>
    <w:rPr>
      <w:rFonts w:ascii="Arial" w:hAnsi="Arial"/>
    </w:rPr>
  </w:style>
  <w:style w:type="paragraph" w:styleId="29">
    <w:name w:val="Document Map"/>
    <w:basedOn w:val="1"/>
    <w:link w:val="98"/>
    <w:qFormat/>
    <w:uiPriority w:val="0"/>
    <w:pPr>
      <w:shd w:val="clear" w:color="auto" w:fill="000080"/>
    </w:pPr>
  </w:style>
  <w:style w:type="paragraph" w:styleId="30">
    <w:name w:val="annotation text"/>
    <w:basedOn w:val="1"/>
    <w:qFormat/>
    <w:uiPriority w:val="0"/>
    <w:pPr>
      <w:adjustRightInd/>
      <w:spacing w:line="240" w:lineRule="auto"/>
      <w:jc w:val="left"/>
      <w:textAlignment w:val="auto"/>
    </w:pPr>
  </w:style>
  <w:style w:type="paragraph" w:styleId="31">
    <w:name w:val="index 6"/>
    <w:basedOn w:val="1"/>
    <w:next w:val="1"/>
    <w:qFormat/>
    <w:uiPriority w:val="0"/>
    <w:pPr>
      <w:topLinePunct w:val="0"/>
      <w:adjustRightInd/>
      <w:spacing w:line="300" w:lineRule="auto"/>
      <w:ind w:left="2100"/>
    </w:pPr>
    <w:rPr>
      <w:rFonts w:ascii="Arial" w:hAnsi="Arial"/>
    </w:rPr>
  </w:style>
  <w:style w:type="paragraph" w:styleId="32">
    <w:name w:val="Body Text 3"/>
    <w:basedOn w:val="1"/>
    <w:link w:val="99"/>
    <w:qFormat/>
    <w:uiPriority w:val="0"/>
    <w:pPr>
      <w:topLinePunct w:val="0"/>
      <w:adjustRightInd/>
      <w:spacing w:after="120" w:afterLines="0" w:afterAutospacing="0"/>
    </w:pPr>
    <w:rPr>
      <w:rFonts w:ascii="Calibri" w:hAnsi="Calibri"/>
      <w:sz w:val="16"/>
    </w:rPr>
  </w:style>
  <w:style w:type="paragraph" w:styleId="33">
    <w:name w:val="List Bullet 3"/>
    <w:basedOn w:val="1"/>
    <w:qFormat/>
    <w:uiPriority w:val="0"/>
    <w:pPr>
      <w:tabs>
        <w:tab w:val="left" w:pos="1152"/>
      </w:tabs>
      <w:topLinePunct w:val="0"/>
      <w:adjustRightInd/>
      <w:spacing w:line="300" w:lineRule="auto"/>
      <w:ind w:left="1152" w:hanging="360"/>
    </w:pPr>
    <w:rPr>
      <w:rFonts w:ascii="Arial" w:hAnsi="Arial"/>
    </w:rPr>
  </w:style>
  <w:style w:type="paragraph" w:styleId="34">
    <w:name w:val="Body Text"/>
    <w:basedOn w:val="1"/>
    <w:next w:val="17"/>
    <w:link w:val="100"/>
    <w:qFormat/>
    <w:uiPriority w:val="0"/>
    <w:pPr>
      <w:adjustRightInd/>
      <w:spacing w:after="120" w:afterLines="0" w:afterAutospacing="0" w:line="240" w:lineRule="auto"/>
      <w:textAlignment w:val="auto"/>
    </w:pPr>
  </w:style>
  <w:style w:type="paragraph" w:styleId="35">
    <w:name w:val="Body Text Indent"/>
    <w:basedOn w:val="1"/>
    <w:qFormat/>
    <w:uiPriority w:val="0"/>
    <w:pPr>
      <w:ind w:firstLine="420"/>
    </w:pPr>
  </w:style>
  <w:style w:type="paragraph" w:styleId="36">
    <w:name w:val="List Number 3"/>
    <w:basedOn w:val="1"/>
    <w:qFormat/>
    <w:uiPriority w:val="0"/>
    <w:pPr>
      <w:tabs>
        <w:tab w:val="left" w:pos="1200"/>
      </w:tabs>
      <w:topLinePunct w:val="0"/>
      <w:adjustRightInd/>
      <w:spacing w:before="78" w:beforeLines="25" w:beforeAutospacing="0" w:line="300" w:lineRule="auto"/>
      <w:ind w:left="1200" w:hanging="360"/>
    </w:pPr>
    <w:rPr>
      <w:rFonts w:ascii="Arial" w:hAnsi="Arial"/>
    </w:rPr>
  </w:style>
  <w:style w:type="paragraph" w:styleId="37">
    <w:name w:val="List 2"/>
    <w:basedOn w:val="1"/>
    <w:qFormat/>
    <w:uiPriority w:val="0"/>
    <w:pPr>
      <w:topLinePunct w:val="0"/>
      <w:adjustRightInd/>
      <w:spacing w:line="360" w:lineRule="auto"/>
      <w:ind w:left="100" w:leftChars="200" w:hanging="200" w:hangingChars="200"/>
    </w:pPr>
  </w:style>
  <w:style w:type="paragraph" w:styleId="38">
    <w:name w:val="List Continue"/>
    <w:basedOn w:val="1"/>
    <w:qFormat/>
    <w:uiPriority w:val="0"/>
    <w:pPr>
      <w:topLinePunct w:val="0"/>
      <w:adjustRightInd/>
      <w:spacing w:after="120" w:afterLines="0" w:afterAutospacing="0" w:line="300" w:lineRule="auto"/>
      <w:ind w:left="420" w:leftChars="200"/>
    </w:pPr>
  </w:style>
  <w:style w:type="paragraph" w:styleId="39">
    <w:name w:val="List Bullet 2"/>
    <w:basedOn w:val="1"/>
    <w:qFormat/>
    <w:uiPriority w:val="0"/>
    <w:pPr>
      <w:tabs>
        <w:tab w:val="left" w:pos="780"/>
      </w:tabs>
      <w:topLinePunct w:val="0"/>
      <w:adjustRightInd/>
      <w:spacing w:line="300" w:lineRule="auto"/>
      <w:ind w:left="780" w:hanging="360"/>
    </w:pPr>
    <w:rPr>
      <w:rFonts w:ascii="Arial" w:hAnsi="Arial"/>
    </w:rPr>
  </w:style>
  <w:style w:type="paragraph" w:styleId="40">
    <w:name w:val="HTML Address"/>
    <w:basedOn w:val="1"/>
    <w:qFormat/>
    <w:uiPriority w:val="0"/>
    <w:rPr>
      <w:i/>
    </w:rPr>
  </w:style>
  <w:style w:type="paragraph" w:styleId="41">
    <w:name w:val="index 4"/>
    <w:basedOn w:val="1"/>
    <w:next w:val="1"/>
    <w:qFormat/>
    <w:uiPriority w:val="0"/>
    <w:pPr>
      <w:topLinePunct w:val="0"/>
      <w:adjustRightInd/>
      <w:spacing w:line="300" w:lineRule="auto"/>
      <w:ind w:left="1260"/>
    </w:pPr>
    <w:rPr>
      <w:rFonts w:ascii="Arial" w:hAnsi="Arial"/>
    </w:rPr>
  </w:style>
  <w:style w:type="paragraph" w:styleId="42">
    <w:name w:val="Plain Text"/>
    <w:basedOn w:val="1"/>
    <w:qFormat/>
    <w:uiPriority w:val="0"/>
    <w:pPr>
      <w:adjustRightInd/>
      <w:spacing w:line="240" w:lineRule="auto"/>
      <w:textAlignment w:val="auto"/>
    </w:pPr>
    <w:rPr>
      <w:rFonts w:ascii="宋体" w:hAnsi="Courier New"/>
    </w:rPr>
  </w:style>
  <w:style w:type="paragraph" w:styleId="43">
    <w:name w:val="toc 8"/>
    <w:basedOn w:val="13"/>
    <w:qFormat/>
    <w:uiPriority w:val="0"/>
    <w:pPr>
      <w:ind w:left="1470"/>
    </w:pPr>
  </w:style>
  <w:style w:type="paragraph" w:styleId="44">
    <w:name w:val="index 3"/>
    <w:basedOn w:val="1"/>
    <w:next w:val="1"/>
    <w:qFormat/>
    <w:uiPriority w:val="0"/>
    <w:pPr>
      <w:topLinePunct w:val="0"/>
      <w:adjustRightInd/>
      <w:spacing w:line="300" w:lineRule="auto"/>
      <w:ind w:left="840"/>
    </w:pPr>
    <w:rPr>
      <w:rFonts w:ascii="Arial" w:hAnsi="Arial"/>
    </w:rPr>
  </w:style>
  <w:style w:type="paragraph" w:styleId="45">
    <w:name w:val="Date"/>
    <w:basedOn w:val="1"/>
    <w:next w:val="1"/>
    <w:qFormat/>
    <w:uiPriority w:val="0"/>
    <w:pPr>
      <w:ind w:left="100" w:leftChars="2500"/>
    </w:pPr>
    <w:rPr>
      <w:kern w:val="0"/>
    </w:rPr>
  </w:style>
  <w:style w:type="paragraph" w:styleId="46">
    <w:name w:val="Body Text Indent 2"/>
    <w:basedOn w:val="1"/>
    <w:qFormat/>
    <w:uiPriority w:val="0"/>
    <w:pPr>
      <w:adjustRightInd/>
      <w:spacing w:after="120" w:afterLines="0" w:afterAutospacing="0" w:line="480" w:lineRule="auto"/>
      <w:ind w:left="420" w:leftChars="200"/>
      <w:textAlignment w:val="auto"/>
    </w:pPr>
  </w:style>
  <w:style w:type="paragraph" w:styleId="47">
    <w:name w:val="endnote text"/>
    <w:basedOn w:val="48"/>
    <w:qFormat/>
    <w:uiPriority w:val="0"/>
  </w:style>
  <w:style w:type="paragraph" w:customStyle="1" w:styleId="48">
    <w:name w:val="基准页脚样式"/>
    <w:basedOn w:val="1"/>
    <w:qFormat/>
    <w:uiPriority w:val="0"/>
    <w:pPr>
      <w:keepLines/>
      <w:widowControl/>
      <w:topLinePunct w:val="0"/>
      <w:adjustRightInd/>
      <w:spacing w:line="220" w:lineRule="atLeast"/>
      <w:jc w:val="left"/>
    </w:pPr>
    <w:rPr>
      <w:rFonts w:ascii="Arial" w:hAnsi="Arial"/>
      <w:kern w:val="0"/>
      <w:sz w:val="18"/>
    </w:rPr>
  </w:style>
  <w:style w:type="paragraph" w:styleId="49">
    <w:name w:val="Balloon Text"/>
    <w:basedOn w:val="1"/>
    <w:qFormat/>
    <w:uiPriority w:val="0"/>
    <w:rPr>
      <w:sz w:val="18"/>
    </w:rPr>
  </w:style>
  <w:style w:type="paragraph" w:styleId="50">
    <w:name w:val="footer"/>
    <w:basedOn w:val="1"/>
    <w:next w:val="34"/>
    <w:link w:val="101"/>
    <w:qFormat/>
    <w:uiPriority w:val="99"/>
    <w:pPr>
      <w:tabs>
        <w:tab w:val="center" w:pos="4153"/>
        <w:tab w:val="right" w:pos="8306"/>
      </w:tabs>
      <w:snapToGrid w:val="0"/>
      <w:ind w:rightChars="100"/>
      <w:jc w:val="right"/>
    </w:pPr>
    <w:rPr>
      <w:sz w:val="18"/>
    </w:rPr>
  </w:style>
  <w:style w:type="paragraph" w:styleId="51">
    <w:name w:val="header"/>
    <w:basedOn w:val="1"/>
    <w:link w:val="102"/>
    <w:qFormat/>
    <w:uiPriority w:val="0"/>
    <w:pPr>
      <w:pBdr>
        <w:bottom w:val="single" w:color="auto" w:sz="6" w:space="1"/>
      </w:pBdr>
      <w:tabs>
        <w:tab w:val="center" w:pos="4153"/>
        <w:tab w:val="right" w:pos="8306"/>
      </w:tabs>
      <w:snapToGrid w:val="0"/>
      <w:jc w:val="center"/>
    </w:pPr>
    <w:rPr>
      <w:sz w:val="18"/>
    </w:rPr>
  </w:style>
  <w:style w:type="paragraph" w:styleId="52">
    <w:name w:val="toc 1"/>
    <w:qFormat/>
    <w:uiPriority w:val="39"/>
    <w:pPr>
      <w:widowControl w:val="0"/>
      <w:adjustRightInd w:val="0"/>
      <w:spacing w:before="120" w:after="120" w:line="360" w:lineRule="atLeast"/>
      <w:textAlignment w:val="baseline"/>
    </w:pPr>
    <w:rPr>
      <w:rFonts w:ascii="Times New Roman" w:hAnsi="Times New Roman" w:eastAsia="宋体" w:cs="Times New Roman"/>
      <w:b/>
      <w:caps/>
      <w:kern w:val="2"/>
      <w:sz w:val="21"/>
      <w:lang w:val="en-US" w:eastAsia="zh-CN" w:bidi="ar-SA"/>
    </w:rPr>
  </w:style>
  <w:style w:type="paragraph" w:styleId="53">
    <w:name w:val="List Continue 4"/>
    <w:basedOn w:val="1"/>
    <w:qFormat/>
    <w:uiPriority w:val="0"/>
    <w:pPr>
      <w:topLinePunct w:val="0"/>
      <w:adjustRightInd/>
      <w:spacing w:after="120" w:afterLines="0" w:afterAutospacing="0" w:line="300" w:lineRule="auto"/>
      <w:ind w:left="1680" w:leftChars="800"/>
    </w:pPr>
    <w:rPr>
      <w:rFonts w:ascii="Arial" w:hAnsi="Arial"/>
    </w:rPr>
  </w:style>
  <w:style w:type="paragraph" w:styleId="54">
    <w:name w:val="index heading"/>
    <w:basedOn w:val="1"/>
    <w:next w:val="55"/>
    <w:qFormat/>
    <w:uiPriority w:val="0"/>
    <w:pPr>
      <w:topLinePunct w:val="0"/>
      <w:adjustRightInd/>
      <w:spacing w:line="300" w:lineRule="auto"/>
      <w:jc w:val="center"/>
    </w:pPr>
    <w:rPr>
      <w:rFonts w:ascii="Arial" w:hAnsi="Arial" w:eastAsia="黑体"/>
      <w:b/>
      <w:sz w:val="32"/>
    </w:rPr>
  </w:style>
  <w:style w:type="paragraph" w:styleId="55">
    <w:name w:val="index 1"/>
    <w:basedOn w:val="1"/>
    <w:next w:val="1"/>
    <w:qFormat/>
    <w:uiPriority w:val="0"/>
    <w:pPr>
      <w:topLinePunct w:val="0"/>
      <w:adjustRightInd/>
    </w:pPr>
  </w:style>
  <w:style w:type="paragraph" w:styleId="56">
    <w:name w:val="Subtitle"/>
    <w:basedOn w:val="57"/>
    <w:next w:val="1"/>
    <w:qFormat/>
    <w:uiPriority w:val="0"/>
    <w:pPr>
      <w:topLinePunct w:val="0"/>
      <w:adjustRightInd/>
      <w:snapToGrid w:val="0"/>
      <w:spacing w:before="360" w:beforeLines="0" w:beforeAutospacing="0" w:after="680" w:afterLines="0" w:afterAutospacing="0"/>
    </w:pPr>
    <w:rPr>
      <w:rFonts w:eastAsia="黑体"/>
      <w:b w:val="0"/>
      <w:sz w:val="48"/>
    </w:rPr>
  </w:style>
  <w:style w:type="paragraph" w:styleId="57">
    <w:name w:val="Title"/>
    <w:basedOn w:val="1"/>
    <w:qFormat/>
    <w:uiPriority w:val="0"/>
    <w:pPr>
      <w:spacing w:before="240" w:beforeLines="0" w:beforeAutospacing="0" w:after="60" w:afterLines="0" w:afterAutospacing="0"/>
      <w:jc w:val="center"/>
      <w:outlineLvl w:val="0"/>
    </w:pPr>
    <w:rPr>
      <w:rFonts w:ascii="Arial" w:hAnsi="Arial"/>
      <w:b/>
      <w:sz w:val="32"/>
    </w:rPr>
  </w:style>
  <w:style w:type="paragraph" w:styleId="58">
    <w:name w:val="footnote text"/>
    <w:basedOn w:val="1"/>
    <w:qFormat/>
    <w:uiPriority w:val="0"/>
    <w:pPr>
      <w:snapToGrid w:val="0"/>
      <w:jc w:val="left"/>
    </w:pPr>
    <w:rPr>
      <w:sz w:val="18"/>
    </w:rPr>
  </w:style>
  <w:style w:type="paragraph" w:styleId="59">
    <w:name w:val="Body Text Indent 3"/>
    <w:basedOn w:val="1"/>
    <w:qFormat/>
    <w:uiPriority w:val="0"/>
    <w:pPr>
      <w:spacing w:line="360" w:lineRule="auto"/>
      <w:ind w:firstLine="360"/>
    </w:pPr>
  </w:style>
  <w:style w:type="paragraph" w:styleId="60">
    <w:name w:val="index 7"/>
    <w:basedOn w:val="1"/>
    <w:next w:val="1"/>
    <w:qFormat/>
    <w:uiPriority w:val="0"/>
    <w:pPr>
      <w:topLinePunct w:val="0"/>
      <w:adjustRightInd/>
      <w:spacing w:line="300" w:lineRule="auto"/>
      <w:ind w:left="2520"/>
    </w:pPr>
    <w:rPr>
      <w:rFonts w:ascii="Arial" w:hAnsi="Arial"/>
    </w:rPr>
  </w:style>
  <w:style w:type="paragraph" w:styleId="61">
    <w:name w:val="index 9"/>
    <w:basedOn w:val="1"/>
    <w:next w:val="1"/>
    <w:qFormat/>
    <w:uiPriority w:val="0"/>
    <w:pPr>
      <w:topLinePunct w:val="0"/>
      <w:adjustRightInd/>
      <w:spacing w:line="300" w:lineRule="auto"/>
      <w:ind w:left="3360"/>
    </w:pPr>
    <w:rPr>
      <w:rFonts w:ascii="Arial" w:hAnsi="Arial"/>
    </w:rPr>
  </w:style>
  <w:style w:type="paragraph" w:styleId="62">
    <w:name w:val="table of figures"/>
    <w:basedOn w:val="1"/>
    <w:next w:val="1"/>
    <w:qFormat/>
    <w:uiPriority w:val="0"/>
    <w:pPr>
      <w:topLinePunct w:val="0"/>
      <w:adjustRightInd/>
      <w:spacing w:line="300" w:lineRule="auto"/>
      <w:ind w:left="840" w:hanging="420"/>
    </w:pPr>
    <w:rPr>
      <w:rFonts w:ascii="Arial" w:hAnsi="Arial"/>
    </w:rPr>
  </w:style>
  <w:style w:type="paragraph" w:styleId="63">
    <w:name w:val="toc 2"/>
    <w:basedOn w:val="52"/>
    <w:qFormat/>
    <w:uiPriority w:val="39"/>
    <w:pPr>
      <w:spacing w:before="0" w:beforeLines="0" w:beforeAutospacing="0" w:after="0" w:afterLines="0" w:afterAutospacing="0"/>
      <w:ind w:left="210"/>
    </w:pPr>
    <w:rPr>
      <w:b w:val="0"/>
      <w:caps w:val="0"/>
      <w:smallCaps/>
    </w:rPr>
  </w:style>
  <w:style w:type="paragraph" w:styleId="64">
    <w:name w:val="toc 9"/>
    <w:basedOn w:val="43"/>
    <w:qFormat/>
    <w:uiPriority w:val="0"/>
    <w:pPr>
      <w:ind w:left="1680"/>
    </w:pPr>
  </w:style>
  <w:style w:type="paragraph" w:styleId="65">
    <w:name w:val="Body Text 2"/>
    <w:basedOn w:val="1"/>
    <w:qFormat/>
    <w:uiPriority w:val="0"/>
    <w:pPr>
      <w:topLinePunct w:val="0"/>
      <w:adjustRightInd/>
      <w:spacing w:after="120" w:afterLines="0" w:afterAutospacing="0" w:line="480" w:lineRule="auto"/>
    </w:pPr>
    <w:rPr>
      <w:rFonts w:ascii="Arial" w:hAnsi="Arial"/>
    </w:rPr>
  </w:style>
  <w:style w:type="paragraph" w:styleId="66">
    <w:name w:val="List Continue 2"/>
    <w:basedOn w:val="1"/>
    <w:qFormat/>
    <w:uiPriority w:val="0"/>
    <w:pPr>
      <w:topLinePunct w:val="0"/>
      <w:adjustRightInd/>
      <w:spacing w:before="31" w:beforeLines="10" w:beforeAutospacing="0" w:line="312" w:lineRule="auto"/>
      <w:ind w:left="380" w:leftChars="380"/>
    </w:pPr>
    <w:rPr>
      <w:rFonts w:ascii="Arial" w:hAnsi="Arial"/>
    </w:rPr>
  </w:style>
  <w:style w:type="paragraph" w:styleId="67">
    <w:name w:val="HTML Preformatted"/>
    <w:basedOn w:val="1"/>
    <w:qFormat/>
    <w:uiPriority w:val="0"/>
    <w:rPr>
      <w:rFonts w:ascii="Courier New" w:hAnsi="Courier New"/>
      <w:sz w:val="20"/>
    </w:rPr>
  </w:style>
  <w:style w:type="paragraph" w:styleId="68">
    <w:name w:val="Normal (Web)"/>
    <w:basedOn w:val="1"/>
    <w:qFormat/>
    <w:uiPriority w:val="0"/>
    <w:pPr>
      <w:widowControl/>
      <w:topLinePunct w:val="0"/>
      <w:adjustRightInd/>
      <w:spacing w:before="100" w:beforeLines="0" w:beforeAutospacing="1" w:after="100" w:afterLines="0" w:afterAutospacing="1"/>
      <w:jc w:val="left"/>
    </w:pPr>
    <w:rPr>
      <w:rFonts w:ascii="宋体" w:hAnsi="宋体"/>
      <w:kern w:val="0"/>
      <w:sz w:val="24"/>
    </w:rPr>
  </w:style>
  <w:style w:type="paragraph" w:styleId="69">
    <w:name w:val="List Continue 3"/>
    <w:basedOn w:val="1"/>
    <w:qFormat/>
    <w:uiPriority w:val="0"/>
    <w:pPr>
      <w:topLinePunct w:val="0"/>
      <w:adjustRightInd/>
      <w:spacing w:before="31" w:beforeLines="10" w:beforeAutospacing="0" w:after="31" w:afterLines="10" w:afterAutospacing="0" w:line="300" w:lineRule="auto"/>
      <w:ind w:left="550" w:leftChars="550"/>
    </w:pPr>
    <w:rPr>
      <w:rFonts w:ascii="Arial" w:hAnsi="Arial"/>
    </w:rPr>
  </w:style>
  <w:style w:type="paragraph" w:styleId="70">
    <w:name w:val="index 2"/>
    <w:basedOn w:val="1"/>
    <w:next w:val="1"/>
    <w:qFormat/>
    <w:uiPriority w:val="0"/>
    <w:pPr>
      <w:topLinePunct w:val="0"/>
      <w:adjustRightInd/>
      <w:spacing w:line="300" w:lineRule="auto"/>
      <w:ind w:left="420"/>
    </w:pPr>
    <w:rPr>
      <w:rFonts w:ascii="Arial" w:hAnsi="Arial"/>
    </w:rPr>
  </w:style>
  <w:style w:type="paragraph" w:styleId="71">
    <w:name w:val="annotation subject"/>
    <w:basedOn w:val="30"/>
    <w:next w:val="30"/>
    <w:qFormat/>
    <w:uiPriority w:val="0"/>
    <w:pPr>
      <w:topLinePunct w:val="0"/>
    </w:pPr>
    <w:rPr>
      <w:b/>
    </w:rPr>
  </w:style>
  <w:style w:type="paragraph" w:styleId="72">
    <w:name w:val="Body Text First Indent"/>
    <w:basedOn w:val="34"/>
    <w:link w:val="103"/>
    <w:qFormat/>
    <w:uiPriority w:val="0"/>
    <w:pPr>
      <w:topLinePunct w:val="0"/>
      <w:ind w:firstLine="420" w:firstLineChars="100"/>
    </w:pPr>
  </w:style>
  <w:style w:type="paragraph" w:styleId="73">
    <w:name w:val="Body Text First Indent 2"/>
    <w:basedOn w:val="35"/>
    <w:qFormat/>
    <w:uiPriority w:val="0"/>
    <w:pPr>
      <w:topLinePunct w:val="0"/>
      <w:adjustRightInd/>
      <w:spacing w:after="120" w:afterLines="0" w:afterAutospacing="0"/>
      <w:ind w:left="420" w:leftChars="200" w:firstLineChars="200"/>
    </w:pPr>
  </w:style>
  <w:style w:type="table" w:styleId="75">
    <w:name w:val="Table Grid"/>
    <w:basedOn w:val="74"/>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styleId="77">
    <w:name w:val="Strong"/>
    <w:qFormat/>
    <w:uiPriority w:val="0"/>
    <w:rPr>
      <w:b/>
    </w:rPr>
  </w:style>
  <w:style w:type="character" w:styleId="78">
    <w:name w:val="endnote reference"/>
    <w:qFormat/>
    <w:uiPriority w:val="0"/>
    <w:rPr>
      <w:b/>
      <w:vertAlign w:val="superscript"/>
    </w:rPr>
  </w:style>
  <w:style w:type="character" w:styleId="79">
    <w:name w:val="page number"/>
    <w:qFormat/>
    <w:uiPriority w:val="0"/>
    <w:rPr>
      <w:rFonts w:ascii="Times New Roman" w:hAnsi="Times New Roman" w:eastAsia="宋体"/>
      <w:sz w:val="18"/>
    </w:rPr>
  </w:style>
  <w:style w:type="character" w:styleId="80">
    <w:name w:val="FollowedHyperlink"/>
    <w:qFormat/>
    <w:uiPriority w:val="0"/>
    <w:rPr>
      <w:color w:val="800080"/>
      <w:u w:val="single"/>
    </w:rPr>
  </w:style>
  <w:style w:type="character" w:styleId="81">
    <w:name w:val="Emphasis"/>
    <w:qFormat/>
    <w:uiPriority w:val="0"/>
    <w:rPr>
      <w:color w:val="CC0033"/>
    </w:rPr>
  </w:style>
  <w:style w:type="character" w:styleId="82">
    <w:name w:val="HTML Definition"/>
    <w:qFormat/>
    <w:uiPriority w:val="0"/>
    <w:rPr>
      <w:i/>
    </w:rPr>
  </w:style>
  <w:style w:type="character" w:styleId="83">
    <w:name w:val="HTML Typewriter"/>
    <w:qFormat/>
    <w:uiPriority w:val="0"/>
    <w:rPr>
      <w:rFonts w:ascii="Courier New" w:hAnsi="Courier New"/>
      <w:sz w:val="20"/>
    </w:rPr>
  </w:style>
  <w:style w:type="character" w:styleId="84">
    <w:name w:val="HTML Acronym"/>
    <w:qFormat/>
    <w:uiPriority w:val="0"/>
  </w:style>
  <w:style w:type="character" w:styleId="85">
    <w:name w:val="HTML Variable"/>
    <w:qFormat/>
    <w:uiPriority w:val="0"/>
    <w:rPr>
      <w:i/>
    </w:rPr>
  </w:style>
  <w:style w:type="character" w:styleId="86">
    <w:name w:val="Hyperlink"/>
    <w:qFormat/>
    <w:uiPriority w:val="99"/>
    <w:rPr>
      <w:color w:val="0000FF"/>
      <w:u w:val="single"/>
    </w:rPr>
  </w:style>
  <w:style w:type="character" w:styleId="87">
    <w:name w:val="HTML Code"/>
    <w:qFormat/>
    <w:uiPriority w:val="0"/>
    <w:rPr>
      <w:rFonts w:ascii="Courier New" w:hAnsi="Courier New"/>
      <w:sz w:val="20"/>
    </w:rPr>
  </w:style>
  <w:style w:type="character" w:styleId="88">
    <w:name w:val="annotation reference"/>
    <w:qFormat/>
    <w:uiPriority w:val="0"/>
    <w:rPr>
      <w:sz w:val="21"/>
    </w:rPr>
  </w:style>
  <w:style w:type="character" w:styleId="89">
    <w:name w:val="HTML Cite"/>
    <w:qFormat/>
    <w:uiPriority w:val="0"/>
    <w:rPr>
      <w:i/>
    </w:rPr>
  </w:style>
  <w:style w:type="character" w:styleId="90">
    <w:name w:val="footnote reference"/>
    <w:qFormat/>
    <w:uiPriority w:val="0"/>
    <w:rPr>
      <w:vertAlign w:val="superscript"/>
    </w:rPr>
  </w:style>
  <w:style w:type="character" w:styleId="91">
    <w:name w:val="HTML Keyboard"/>
    <w:qFormat/>
    <w:uiPriority w:val="0"/>
    <w:rPr>
      <w:rFonts w:ascii="Courier New" w:hAnsi="Courier New"/>
      <w:sz w:val="20"/>
    </w:rPr>
  </w:style>
  <w:style w:type="character" w:styleId="92">
    <w:name w:val="HTML Sample"/>
    <w:qFormat/>
    <w:uiPriority w:val="0"/>
    <w:rPr>
      <w:rFonts w:ascii="Courier New" w:hAnsi="Courier New"/>
    </w:rPr>
  </w:style>
  <w:style w:type="character" w:customStyle="1" w:styleId="93">
    <w:name w:val="标题 2 字符"/>
    <w:link w:val="2"/>
    <w:qFormat/>
    <w:uiPriority w:val="0"/>
    <w:rPr>
      <w:rFonts w:ascii="Arial" w:hAnsi="Arial" w:eastAsia="黑体"/>
      <w:b/>
      <w:kern w:val="2"/>
      <w:sz w:val="32"/>
    </w:rPr>
  </w:style>
  <w:style w:type="character" w:customStyle="1" w:styleId="94">
    <w:name w:val="标题 1 字符"/>
    <w:link w:val="4"/>
    <w:qFormat/>
    <w:uiPriority w:val="0"/>
    <w:rPr>
      <w:rFonts w:eastAsia="宋体"/>
      <w:b/>
      <w:kern w:val="44"/>
      <w:sz w:val="44"/>
      <w:lang w:val="en-US" w:eastAsia="zh-CN"/>
    </w:rPr>
  </w:style>
  <w:style w:type="character" w:customStyle="1" w:styleId="95">
    <w:name w:val="标题 3 字符"/>
    <w:link w:val="5"/>
    <w:qFormat/>
    <w:uiPriority w:val="0"/>
    <w:rPr>
      <w:rFonts w:eastAsia="宋体"/>
      <w:b/>
      <w:kern w:val="2"/>
      <w:sz w:val="32"/>
      <w:lang w:val="en-US" w:eastAsia="zh-CN"/>
    </w:rPr>
  </w:style>
  <w:style w:type="character" w:customStyle="1" w:styleId="96">
    <w:name w:val="标题 4 字符"/>
    <w:link w:val="6"/>
    <w:qFormat/>
    <w:uiPriority w:val="0"/>
    <w:rPr>
      <w:rFonts w:ascii="Arial" w:hAnsi="Arial" w:eastAsia="黑体"/>
      <w:b/>
      <w:kern w:val="2"/>
      <w:sz w:val="28"/>
      <w:lang w:val="en-US" w:eastAsia="zh-CN"/>
    </w:rPr>
  </w:style>
  <w:style w:type="character" w:customStyle="1" w:styleId="97">
    <w:name w:val="标题 5 字符"/>
    <w:link w:val="7"/>
    <w:qFormat/>
    <w:uiPriority w:val="0"/>
    <w:rPr>
      <w:rFonts w:eastAsia="宋体"/>
      <w:b/>
      <w:kern w:val="2"/>
      <w:sz w:val="28"/>
      <w:lang w:val="en-US" w:eastAsia="zh-CN"/>
    </w:rPr>
  </w:style>
  <w:style w:type="character" w:customStyle="1" w:styleId="98">
    <w:name w:val="文档结构图 字符"/>
    <w:link w:val="29"/>
    <w:qFormat/>
    <w:uiPriority w:val="0"/>
    <w:rPr>
      <w:rFonts w:eastAsia="宋体"/>
      <w:kern w:val="2"/>
      <w:sz w:val="21"/>
      <w:lang w:val="en-US" w:eastAsia="zh-CN"/>
    </w:rPr>
  </w:style>
  <w:style w:type="character" w:customStyle="1" w:styleId="99">
    <w:name w:val="正文文本 3 字符"/>
    <w:link w:val="32"/>
    <w:qFormat/>
    <w:uiPriority w:val="0"/>
    <w:rPr>
      <w:rFonts w:ascii="Calibri" w:hAnsi="Calibri" w:eastAsia="宋体"/>
      <w:kern w:val="2"/>
      <w:sz w:val="16"/>
      <w:lang w:val="en-US" w:eastAsia="zh-CN"/>
    </w:rPr>
  </w:style>
  <w:style w:type="character" w:customStyle="1" w:styleId="100">
    <w:name w:val="正文文本 字符"/>
    <w:link w:val="34"/>
    <w:qFormat/>
    <w:uiPriority w:val="0"/>
    <w:rPr>
      <w:rFonts w:eastAsia="宋体"/>
      <w:kern w:val="2"/>
      <w:sz w:val="21"/>
      <w:lang w:val="en-US" w:eastAsia="zh-CN"/>
    </w:rPr>
  </w:style>
  <w:style w:type="character" w:customStyle="1" w:styleId="101">
    <w:name w:val="页脚 字符1"/>
    <w:link w:val="50"/>
    <w:qFormat/>
    <w:uiPriority w:val="0"/>
    <w:rPr>
      <w:rFonts w:eastAsia="宋体"/>
      <w:kern w:val="2"/>
      <w:sz w:val="18"/>
      <w:lang w:val="en-US" w:eastAsia="zh-CN"/>
    </w:rPr>
  </w:style>
  <w:style w:type="character" w:customStyle="1" w:styleId="102">
    <w:name w:val="页眉 字符"/>
    <w:link w:val="51"/>
    <w:qFormat/>
    <w:uiPriority w:val="0"/>
    <w:rPr>
      <w:rFonts w:eastAsia="宋体"/>
      <w:kern w:val="2"/>
      <w:sz w:val="18"/>
      <w:lang w:val="en-US" w:eastAsia="zh-CN"/>
    </w:rPr>
  </w:style>
  <w:style w:type="character" w:customStyle="1" w:styleId="103">
    <w:name w:val="正文文本首行缩进 字符"/>
    <w:link w:val="72"/>
    <w:qFormat/>
    <w:uiPriority w:val="0"/>
    <w:rPr>
      <w:lang w:val="en-US" w:eastAsia="zh-CN"/>
    </w:rPr>
  </w:style>
  <w:style w:type="character" w:customStyle="1" w:styleId="104">
    <w:name w:val="msoins"/>
    <w:qFormat/>
    <w:uiPriority w:val="0"/>
    <w:rPr>
      <w:u w:val="single"/>
    </w:rPr>
  </w:style>
  <w:style w:type="character" w:customStyle="1" w:styleId="105">
    <w:name w:val="表头 Char"/>
    <w:link w:val="106"/>
    <w:qFormat/>
    <w:uiPriority w:val="0"/>
    <w:rPr>
      <w:rFonts w:eastAsia="黑体"/>
      <w:snapToGrid w:val="0"/>
      <w:sz w:val="21"/>
      <w:lang w:val="en-US" w:eastAsia="zh-CN"/>
    </w:rPr>
  </w:style>
  <w:style w:type="paragraph" w:customStyle="1" w:styleId="106">
    <w:name w:val="表头"/>
    <w:basedOn w:val="1"/>
    <w:link w:val="105"/>
    <w:qFormat/>
    <w:uiPriority w:val="0"/>
    <w:pPr>
      <w:adjustRightInd/>
      <w:spacing w:before="160" w:beforeLines="0" w:beforeAutospacing="0" w:after="60" w:afterLines="0" w:afterAutospacing="0" w:line="312" w:lineRule="exact"/>
      <w:jc w:val="center"/>
    </w:pPr>
    <w:rPr>
      <w:rFonts w:eastAsia="黑体"/>
      <w:snapToGrid w:val="0"/>
      <w:kern w:val="0"/>
    </w:rPr>
  </w:style>
  <w:style w:type="character" w:customStyle="1" w:styleId="107">
    <w:name w:val="样式1 样式 标题 2 + 段前: 0行 Char Char"/>
    <w:qFormat/>
    <w:uiPriority w:val="0"/>
    <w:rPr>
      <w:rFonts w:eastAsia="黑体"/>
      <w:b/>
      <w:kern w:val="2"/>
      <w:sz w:val="21"/>
      <w:lang w:val="en-US" w:eastAsia="zh-CN"/>
    </w:rPr>
  </w:style>
  <w:style w:type="character" w:customStyle="1" w:styleId="108">
    <w:name w:val="样式 正文缩进正文缩进 Char正文（首行缩进两字） Char Char正文（首行缩进两字） Char1正文（首行缩进两...1 Char"/>
    <w:link w:val="109"/>
    <w:qFormat/>
    <w:uiPriority w:val="0"/>
    <w:rPr>
      <w:rFonts w:eastAsia="宋体"/>
      <w:kern w:val="2"/>
      <w:sz w:val="21"/>
      <w:lang w:val="en-US" w:eastAsia="zh-CN"/>
    </w:rPr>
  </w:style>
  <w:style w:type="paragraph" w:customStyle="1" w:styleId="109">
    <w:name w:val="样式 正文缩进正文缩进 Char正文（首行缩进两字） Char Char正文（首行缩进两字） Char1正文（首行缩进两...1"/>
    <w:basedOn w:val="1"/>
    <w:link w:val="108"/>
    <w:qFormat/>
    <w:uiPriority w:val="0"/>
    <w:pPr>
      <w:topLinePunct w:val="0"/>
      <w:adjustRightInd/>
      <w:spacing w:before="31" w:beforeLines="10" w:beforeAutospacing="0" w:line="312" w:lineRule="auto"/>
      <w:ind w:firstLine="200" w:firstLineChars="200"/>
    </w:pPr>
  </w:style>
  <w:style w:type="character" w:customStyle="1" w:styleId="110">
    <w:name w:val="样式 a) Char"/>
    <w:link w:val="111"/>
    <w:qFormat/>
    <w:uiPriority w:val="0"/>
    <w:rPr>
      <w:rFonts w:eastAsia="宋体"/>
      <w:kern w:val="2"/>
      <w:sz w:val="21"/>
      <w:lang w:val="en-US" w:eastAsia="zh-CN"/>
    </w:rPr>
  </w:style>
  <w:style w:type="paragraph" w:customStyle="1" w:styleId="111">
    <w:name w:val="样式 a)"/>
    <w:basedOn w:val="1"/>
    <w:next w:val="1"/>
    <w:link w:val="110"/>
    <w:qFormat/>
    <w:uiPriority w:val="0"/>
    <w:pPr>
      <w:tabs>
        <w:tab w:val="left" w:pos="780"/>
      </w:tabs>
      <w:topLinePunct w:val="0"/>
      <w:adjustRightInd/>
      <w:spacing w:before="31" w:beforeLines="10" w:beforeAutospacing="0" w:line="312" w:lineRule="auto"/>
      <w:ind w:firstLine="200" w:firstLineChars="200"/>
    </w:pPr>
  </w:style>
  <w:style w:type="character" w:customStyle="1" w:styleId="112">
    <w:name w:val="apple-style-span"/>
    <w:qFormat/>
    <w:uiPriority w:val="0"/>
  </w:style>
  <w:style w:type="character" w:customStyle="1" w:styleId="113">
    <w:name w:val=" Char Char13"/>
    <w:qFormat/>
    <w:uiPriority w:val="0"/>
    <w:rPr>
      <w:rFonts w:ascii="Calibri" w:hAnsi="Calibri" w:eastAsia="宋体"/>
      <w:b/>
      <w:kern w:val="44"/>
      <w:sz w:val="44"/>
      <w:lang w:val="en-US" w:eastAsia="zh-CN"/>
    </w:rPr>
  </w:style>
  <w:style w:type="character" w:customStyle="1" w:styleId="114">
    <w:name w:val="朱1 Char"/>
    <w:link w:val="115"/>
    <w:qFormat/>
    <w:uiPriority w:val="0"/>
    <w:rPr>
      <w:rFonts w:ascii="EU-F1" w:eastAsia="黑体"/>
      <w:kern w:val="21"/>
      <w:sz w:val="21"/>
      <w:lang w:val="en-US" w:eastAsia="zh-CN"/>
    </w:rPr>
  </w:style>
  <w:style w:type="paragraph" w:customStyle="1" w:styleId="115">
    <w:name w:val="朱1"/>
    <w:basedOn w:val="116"/>
    <w:link w:val="114"/>
    <w:qFormat/>
    <w:uiPriority w:val="0"/>
    <w:rPr>
      <w:kern w:val="21"/>
    </w:rPr>
  </w:style>
  <w:style w:type="paragraph" w:customStyle="1" w:styleId="116">
    <w:name w:val="样式1"/>
    <w:basedOn w:val="4"/>
    <w:qFormat/>
    <w:uiPriority w:val="0"/>
    <w:pPr>
      <w:keepLines w:val="0"/>
      <w:topLinePunct/>
      <w:adjustRightInd/>
      <w:spacing w:before="0" w:beforeLines="0" w:beforeAutospacing="0" w:after="0" w:afterLines="0" w:afterAutospacing="0" w:line="480" w:lineRule="auto"/>
      <w:textAlignment w:val="auto"/>
    </w:pPr>
    <w:rPr>
      <w:rFonts w:ascii="EU-F1" w:eastAsia="黑体"/>
      <w:b w:val="0"/>
      <w:kern w:val="2"/>
      <w:sz w:val="21"/>
    </w:rPr>
  </w:style>
  <w:style w:type="character" w:customStyle="1" w:styleId="117">
    <w:name w:val="段 Char Char"/>
    <w:qFormat/>
    <w:uiPriority w:val="0"/>
    <w:rPr>
      <w:rFonts w:ascii="宋体" w:eastAsia="宋体"/>
      <w:sz w:val="24"/>
      <w:lang w:val="en-US" w:eastAsia="zh-CN"/>
    </w:rPr>
  </w:style>
  <w:style w:type="character" w:customStyle="1" w:styleId="118">
    <w:name w:val="章标题 Char Char"/>
    <w:link w:val="119"/>
    <w:qFormat/>
    <w:uiPriority w:val="0"/>
    <w:rPr>
      <w:rFonts w:ascii="黑体" w:eastAsia="黑体"/>
      <w:sz w:val="21"/>
    </w:rPr>
  </w:style>
  <w:style w:type="paragraph" w:customStyle="1" w:styleId="119">
    <w:name w:val="章标题"/>
    <w:next w:val="120"/>
    <w:link w:val="118"/>
    <w:qFormat/>
    <w:uiPriority w:val="0"/>
    <w:pPr>
      <w:widowControl w:val="0"/>
      <w:adjustRightInd w:val="0"/>
      <w:spacing w:before="156" w:beforeLines="50" w:after="156" w:afterLines="50" w:line="360" w:lineRule="atLeast"/>
      <w:jc w:val="both"/>
      <w:textAlignment w:val="baseline"/>
      <w:outlineLvl w:val="1"/>
    </w:pPr>
    <w:rPr>
      <w:rFonts w:ascii="黑体" w:hAnsi="Times New Roman" w:eastAsia="黑体" w:cs="Times New Roman"/>
      <w:sz w:val="21"/>
      <w:lang w:val="en-US" w:eastAsia="zh-CN" w:bidi="ar-SA"/>
    </w:rPr>
  </w:style>
  <w:style w:type="paragraph" w:customStyle="1" w:styleId="120">
    <w:name w:val="段"/>
    <w:link w:val="121"/>
    <w:qFormat/>
    <w:uiPriority w:val="0"/>
    <w:pPr>
      <w:widowControl w:val="0"/>
      <w:autoSpaceDE w:val="0"/>
      <w:autoSpaceDN w:val="0"/>
      <w:adjustRightInd w:val="0"/>
      <w:spacing w:line="360" w:lineRule="atLeast"/>
      <w:ind w:firstLine="200" w:firstLineChars="200"/>
      <w:jc w:val="both"/>
      <w:textAlignment w:val="baseline"/>
    </w:pPr>
    <w:rPr>
      <w:rFonts w:ascii="宋体" w:hAnsi="Times New Roman" w:eastAsia="宋体" w:cs="Times New Roman"/>
      <w:sz w:val="21"/>
      <w:lang w:val="en-US" w:eastAsia="zh-CN" w:bidi="ar-SA"/>
    </w:rPr>
  </w:style>
  <w:style w:type="character" w:customStyle="1" w:styleId="121">
    <w:name w:val="段 Char"/>
    <w:link w:val="120"/>
    <w:qFormat/>
    <w:uiPriority w:val="0"/>
    <w:rPr>
      <w:rFonts w:ascii="宋体"/>
      <w:sz w:val="21"/>
      <w:lang w:val="en-US" w:eastAsia="zh-CN" w:bidi="ar-SA"/>
    </w:rPr>
  </w:style>
  <w:style w:type="character" w:customStyle="1" w:styleId="122">
    <w:name w:val="Lincer表格样式 Char"/>
    <w:link w:val="123"/>
    <w:qFormat/>
    <w:uiPriority w:val="0"/>
    <w:rPr>
      <w:rFonts w:eastAsia="宋体"/>
      <w:kern w:val="2"/>
      <w:sz w:val="21"/>
      <w:lang w:val="en-US" w:eastAsia="zh-CN"/>
    </w:rPr>
  </w:style>
  <w:style w:type="paragraph" w:customStyle="1" w:styleId="123">
    <w:name w:val="Lincer表格样式"/>
    <w:basedOn w:val="1"/>
    <w:link w:val="122"/>
    <w:qFormat/>
    <w:uiPriority w:val="0"/>
    <w:pPr>
      <w:topLinePunct w:val="0"/>
      <w:adjustRightInd/>
      <w:ind w:left="344" w:hanging="344" w:hangingChars="164"/>
    </w:pPr>
  </w:style>
  <w:style w:type="character" w:customStyle="1" w:styleId="124">
    <w:name w:val="cf01"/>
    <w:qFormat/>
    <w:uiPriority w:val="0"/>
    <w:rPr>
      <w:rFonts w:hint="eastAsia" w:ascii="Microsoft YaHei UI" w:hAnsi="Microsoft YaHei UI" w:eastAsia="Microsoft YaHei UI"/>
      <w:sz w:val="18"/>
      <w:szCs w:val="18"/>
    </w:rPr>
  </w:style>
  <w:style w:type="character" w:customStyle="1" w:styleId="125">
    <w:name w:val=" Char Char9"/>
    <w:qFormat/>
    <w:uiPriority w:val="0"/>
    <w:rPr>
      <w:rFonts w:eastAsia="宋体"/>
      <w:kern w:val="2"/>
      <w:sz w:val="18"/>
      <w:lang w:val="en-US" w:eastAsia="zh-CN"/>
    </w:rPr>
  </w:style>
  <w:style w:type="character" w:customStyle="1" w:styleId="126">
    <w:name w:val="样式 正文（首行缩进两字） Char + Times New Roman Char"/>
    <w:link w:val="127"/>
    <w:qFormat/>
    <w:uiPriority w:val="0"/>
    <w:rPr>
      <w:lang w:val="en-US" w:eastAsia="zh-CN"/>
    </w:rPr>
  </w:style>
  <w:style w:type="paragraph" w:customStyle="1" w:styleId="127">
    <w:name w:val="样式 正文（首行缩进两字） Char + Times New Roman"/>
    <w:basedOn w:val="128"/>
    <w:link w:val="126"/>
    <w:qFormat/>
    <w:uiPriority w:val="0"/>
    <w:pPr>
      <w:snapToGrid w:val="0"/>
      <w:spacing w:line="240" w:lineRule="auto"/>
      <w:ind w:firstLine="0" w:firstLineChars="0"/>
      <w:jc w:val="center"/>
    </w:pPr>
  </w:style>
  <w:style w:type="paragraph" w:customStyle="1" w:styleId="128">
    <w:name w:val="样式1正文（首行缩进两字） Char"/>
    <w:basedOn w:val="1"/>
    <w:next w:val="1"/>
    <w:link w:val="129"/>
    <w:qFormat/>
    <w:uiPriority w:val="0"/>
    <w:pPr>
      <w:adjustRightInd/>
      <w:snapToGrid w:val="0"/>
      <w:spacing w:before="40" w:beforeLines="0" w:beforeAutospacing="0" w:after="40" w:afterLines="0" w:afterAutospacing="0"/>
      <w:ind w:firstLine="396" w:firstLineChars="200"/>
    </w:pPr>
    <w:rPr>
      <w:spacing w:val="-6"/>
      <w:kern w:val="21"/>
    </w:rPr>
  </w:style>
  <w:style w:type="character" w:customStyle="1" w:styleId="129">
    <w:name w:val="样式1正文（首行缩进两字） Char Char"/>
    <w:link w:val="128"/>
    <w:qFormat/>
    <w:uiPriority w:val="0"/>
    <w:rPr>
      <w:rFonts w:eastAsia="宋体"/>
      <w:spacing w:val="-6"/>
      <w:kern w:val="21"/>
      <w:sz w:val="21"/>
      <w:lang w:val="en-US" w:eastAsia="zh-CN"/>
    </w:rPr>
  </w:style>
  <w:style w:type="character" w:customStyle="1" w:styleId="130">
    <w:name w:val="样式1 悬挂缩进: 4 字符 段前: 0.1 行，小五 Char"/>
    <w:link w:val="131"/>
    <w:qFormat/>
    <w:uiPriority w:val="0"/>
    <w:rPr>
      <w:rFonts w:eastAsia="宋体"/>
      <w:kern w:val="2"/>
      <w:sz w:val="18"/>
      <w:lang w:val="en-US" w:eastAsia="zh-CN"/>
    </w:rPr>
  </w:style>
  <w:style w:type="paragraph" w:customStyle="1" w:styleId="131">
    <w:name w:val="样式1 悬挂缩进: 4 字符 段前: 0.1 行，小五"/>
    <w:basedOn w:val="1"/>
    <w:link w:val="130"/>
    <w:qFormat/>
    <w:uiPriority w:val="0"/>
    <w:pPr>
      <w:topLinePunct w:val="0"/>
      <w:adjustRightInd/>
      <w:spacing w:before="31" w:beforeLines="10" w:beforeAutospacing="0" w:line="312" w:lineRule="auto"/>
      <w:ind w:left="400" w:leftChars="400"/>
    </w:pPr>
    <w:rPr>
      <w:sz w:val="18"/>
    </w:rPr>
  </w:style>
  <w:style w:type="character" w:customStyle="1" w:styleId="132">
    <w:name w:val=" Char Char8"/>
    <w:qFormat/>
    <w:uiPriority w:val="0"/>
    <w:rPr>
      <w:rFonts w:ascii="Calibri" w:hAnsi="Calibri" w:eastAsia="宋体"/>
      <w:kern w:val="2"/>
      <w:sz w:val="18"/>
      <w:lang w:val="en-US" w:eastAsia="zh-CN"/>
    </w:rPr>
  </w:style>
  <w:style w:type="character" w:customStyle="1" w:styleId="133">
    <w:name w:val="cf11"/>
    <w:qFormat/>
    <w:uiPriority w:val="0"/>
    <w:rPr>
      <w:rFonts w:hint="eastAsia" w:ascii="Microsoft YaHei UI" w:hAnsi="Microsoft YaHei UI" w:eastAsia="Microsoft YaHei UI"/>
      <w:sz w:val="18"/>
      <w:szCs w:val="18"/>
    </w:rPr>
  </w:style>
  <w:style w:type="character" w:customStyle="1" w:styleId="134">
    <w:name w:val="样式 标题 2 + 段前: 0.1 行 Char"/>
    <w:link w:val="135"/>
    <w:qFormat/>
    <w:uiPriority w:val="0"/>
    <w:rPr>
      <w:b/>
      <w:kern w:val="2"/>
      <w:sz w:val="21"/>
    </w:rPr>
  </w:style>
  <w:style w:type="paragraph" w:customStyle="1" w:styleId="135">
    <w:name w:val="样式 标题 2 + 段前: 0.1 行"/>
    <w:basedOn w:val="2"/>
    <w:link w:val="134"/>
    <w:qFormat/>
    <w:uiPriority w:val="0"/>
    <w:pPr>
      <w:topLinePunct w:val="0"/>
      <w:adjustRightInd/>
      <w:spacing w:before="31" w:beforeLines="10" w:after="0" w:line="312" w:lineRule="auto"/>
    </w:pPr>
    <w:rPr>
      <w:rFonts w:ascii="Times New Roman" w:hAnsi="Times New Roman" w:eastAsia="宋体"/>
      <w:sz w:val="21"/>
    </w:rPr>
  </w:style>
  <w:style w:type="character" w:customStyle="1" w:styleId="136">
    <w:name w:val="style251"/>
    <w:qFormat/>
    <w:uiPriority w:val="0"/>
    <w:rPr>
      <w:rFonts w:eastAsia="宋体"/>
      <w:kern w:val="2"/>
      <w:sz w:val="21"/>
      <w:lang w:val="en-US" w:eastAsia="zh-CN"/>
    </w:rPr>
  </w:style>
  <w:style w:type="character" w:customStyle="1" w:styleId="137">
    <w:name w:val="个人答复风格"/>
    <w:qFormat/>
    <w:uiPriority w:val="0"/>
    <w:rPr>
      <w:rFonts w:ascii="Arial" w:hAnsi="Arial" w:eastAsia="宋体"/>
      <w:color w:val="auto"/>
      <w:sz w:val="20"/>
    </w:rPr>
  </w:style>
  <w:style w:type="character" w:customStyle="1" w:styleId="138">
    <w:name w:val="附录三 Char"/>
    <w:link w:val="139"/>
    <w:qFormat/>
    <w:uiPriority w:val="0"/>
    <w:rPr>
      <w:rFonts w:ascii="E-F1" w:eastAsia="黑体"/>
      <w:kern w:val="21"/>
      <w:sz w:val="21"/>
      <w:lang w:val="en-US" w:eastAsia="zh-CN"/>
    </w:rPr>
  </w:style>
  <w:style w:type="paragraph" w:customStyle="1" w:styleId="139">
    <w:name w:val="附录三"/>
    <w:basedOn w:val="1"/>
    <w:link w:val="138"/>
    <w:qFormat/>
    <w:uiPriority w:val="0"/>
    <w:pPr>
      <w:tabs>
        <w:tab w:val="center" w:pos="4706"/>
        <w:tab w:val="right" w:pos="9072"/>
      </w:tabs>
      <w:topLinePunct w:val="0"/>
      <w:adjustRightInd/>
      <w:spacing w:before="120" w:beforeLines="0" w:beforeAutospacing="0" w:after="60" w:afterLines="0" w:afterAutospacing="0" w:line="312" w:lineRule="exact"/>
    </w:pPr>
    <w:rPr>
      <w:rFonts w:ascii="E-F1" w:eastAsia="黑体"/>
      <w:kern w:val="21"/>
    </w:rPr>
  </w:style>
  <w:style w:type="character" w:customStyle="1" w:styleId="140">
    <w:name w:val="正文1 Char"/>
    <w:link w:val="141"/>
    <w:qFormat/>
    <w:uiPriority w:val="0"/>
    <w:rPr>
      <w:rFonts w:eastAsia="宋体"/>
      <w:kern w:val="2"/>
      <w:sz w:val="24"/>
      <w:lang w:val="en-US" w:eastAsia="zh-CN"/>
    </w:rPr>
  </w:style>
  <w:style w:type="paragraph" w:customStyle="1" w:styleId="141">
    <w:name w:val="正文1"/>
    <w:basedOn w:val="1"/>
    <w:link w:val="140"/>
    <w:qFormat/>
    <w:uiPriority w:val="0"/>
    <w:pPr>
      <w:topLinePunct w:val="0"/>
      <w:adjustRightInd/>
      <w:spacing w:line="360" w:lineRule="auto"/>
      <w:ind w:firstLine="480" w:firstLineChars="200"/>
    </w:pPr>
    <w:rPr>
      <w:sz w:val="24"/>
    </w:rPr>
  </w:style>
  <w:style w:type="character" w:customStyle="1" w:styleId="142">
    <w:name w:val="样式1 正文（首行缩进2字） Char + 首行缩进:  2 字符 段前: 0 行 Char"/>
    <w:link w:val="143"/>
    <w:qFormat/>
    <w:uiPriority w:val="0"/>
    <w:rPr>
      <w:rFonts w:hAnsi="Arial" w:eastAsia="宋体"/>
      <w:kern w:val="2"/>
      <w:sz w:val="21"/>
      <w:lang w:val="en-US" w:eastAsia="zh-CN"/>
    </w:rPr>
  </w:style>
  <w:style w:type="paragraph" w:customStyle="1" w:styleId="143">
    <w:name w:val="样式1 正文（首行缩进2字） Char + 首行缩进:  2 字符 段前: 0 行"/>
    <w:basedOn w:val="1"/>
    <w:next w:val="1"/>
    <w:link w:val="142"/>
    <w:qFormat/>
    <w:uiPriority w:val="0"/>
    <w:pPr>
      <w:topLinePunct w:val="0"/>
      <w:adjustRightInd/>
      <w:spacing w:line="276" w:lineRule="auto"/>
      <w:ind w:firstLine="420" w:firstLineChars="200"/>
    </w:pPr>
    <w:rPr>
      <w:rFonts w:hAnsi="Arial"/>
    </w:rPr>
  </w:style>
  <w:style w:type="character" w:customStyle="1" w:styleId="144">
    <w:name w:val="样式 样式 正文缩进正文缩进 Char正文（首行缩进两字） Char Char正文（首行缩进两字） Char1正文（首行缩进两.... Char"/>
    <w:link w:val="145"/>
    <w:qFormat/>
    <w:uiPriority w:val="0"/>
    <w:rPr>
      <w:lang w:val="en-US" w:eastAsia="zh-CN"/>
    </w:rPr>
  </w:style>
  <w:style w:type="paragraph" w:customStyle="1" w:styleId="145">
    <w:name w:val="样式 样式 正文缩进正文缩进 Char正文（首行缩进两字） Char Char正文（首行缩进两字） Char1正文（首行缩进两...."/>
    <w:basedOn w:val="109"/>
    <w:link w:val="144"/>
    <w:qFormat/>
    <w:uiPriority w:val="0"/>
    <w:pPr>
      <w:spacing w:line="300" w:lineRule="auto"/>
    </w:pPr>
  </w:style>
  <w:style w:type="character" w:customStyle="1" w:styleId="146">
    <w:name w:val="朱表头 Char"/>
    <w:link w:val="147"/>
    <w:qFormat/>
    <w:uiPriority w:val="0"/>
    <w:rPr>
      <w:rFonts w:ascii="EU-F1" w:eastAsia="黑体"/>
      <w:snapToGrid w:val="0"/>
      <w:kern w:val="2"/>
      <w:sz w:val="21"/>
      <w:lang w:val="en-US" w:eastAsia="zh-CN"/>
    </w:rPr>
  </w:style>
  <w:style w:type="paragraph" w:customStyle="1" w:styleId="147">
    <w:name w:val="朱表头"/>
    <w:basedOn w:val="106"/>
    <w:link w:val="146"/>
    <w:qFormat/>
    <w:uiPriority w:val="0"/>
    <w:rPr>
      <w:rFonts w:ascii="EU-F1"/>
      <w:kern w:val="2"/>
    </w:rPr>
  </w:style>
  <w:style w:type="character" w:customStyle="1" w:styleId="148">
    <w:name w:val="_标准条文 Char"/>
    <w:link w:val="149"/>
    <w:qFormat/>
    <w:uiPriority w:val="0"/>
    <w:rPr>
      <w:rFonts w:ascii="Arial" w:hAnsi="Arial" w:eastAsia="宋体"/>
      <w:kern w:val="2"/>
      <w:sz w:val="21"/>
      <w:lang w:val="en-US" w:eastAsia="zh-CN"/>
    </w:rPr>
  </w:style>
  <w:style w:type="paragraph" w:customStyle="1" w:styleId="149">
    <w:name w:val="_标准条文"/>
    <w:basedOn w:val="1"/>
    <w:link w:val="148"/>
    <w:qFormat/>
    <w:uiPriority w:val="0"/>
    <w:pPr>
      <w:overflowPunct w:val="0"/>
      <w:topLinePunct w:val="0"/>
      <w:adjustRightInd/>
      <w:snapToGrid w:val="0"/>
      <w:spacing w:line="276" w:lineRule="auto"/>
      <w:ind w:firstLine="420" w:firstLineChars="200"/>
    </w:pPr>
    <w:rPr>
      <w:rFonts w:ascii="Arial" w:hAnsi="Arial"/>
    </w:rPr>
  </w:style>
  <w:style w:type="character" w:customStyle="1" w:styleId="150">
    <w:name w:val="着重强调"/>
    <w:qFormat/>
    <w:uiPriority w:val="0"/>
    <w:rPr>
      <w:rFonts w:ascii="Arial" w:hAnsi="Arial"/>
      <w:b/>
      <w:spacing w:val="-4"/>
    </w:rPr>
  </w:style>
  <w:style w:type="character" w:customStyle="1" w:styleId="151">
    <w:name w:val="样式 Times New Roman 首行缩进:  0.74 厘米 段前: 0.1 行 行距1.15 Char"/>
    <w:link w:val="152"/>
    <w:qFormat/>
    <w:uiPriority w:val="0"/>
    <w:rPr>
      <w:rFonts w:hAnsi="宋体" w:eastAsia="宋体"/>
      <w:kern w:val="2"/>
      <w:sz w:val="21"/>
      <w:lang w:val="en-US" w:eastAsia="zh-CN"/>
    </w:rPr>
  </w:style>
  <w:style w:type="paragraph" w:customStyle="1" w:styleId="152">
    <w:name w:val="样式 Times New Roman 首行缩进:  0.74 厘米 段前: 0.1 行 行距1.15"/>
    <w:basedOn w:val="1"/>
    <w:link w:val="151"/>
    <w:qFormat/>
    <w:uiPriority w:val="0"/>
    <w:pPr>
      <w:topLinePunct w:val="0"/>
      <w:adjustRightInd/>
      <w:spacing w:line="276" w:lineRule="auto"/>
      <w:ind w:firstLine="420"/>
    </w:pPr>
    <w:rPr>
      <w:rFonts w:hAnsi="宋体"/>
    </w:rPr>
  </w:style>
  <w:style w:type="character" w:customStyle="1" w:styleId="153">
    <w:name w:val="页脚 字符"/>
    <w:qFormat/>
    <w:uiPriority w:val="99"/>
  </w:style>
  <w:style w:type="character" w:customStyle="1" w:styleId="154">
    <w:name w:val="样式 a首行缩进:  2 字符 段前: 0 行 Char"/>
    <w:link w:val="155"/>
    <w:qFormat/>
    <w:uiPriority w:val="0"/>
    <w:rPr>
      <w:rFonts w:eastAsia="宋体"/>
      <w:sz w:val="21"/>
      <w:lang w:val="en-US" w:eastAsia="zh-CN"/>
    </w:rPr>
  </w:style>
  <w:style w:type="paragraph" w:customStyle="1" w:styleId="155">
    <w:name w:val="样式 a首行缩进:  2 字符 段前: 0 行"/>
    <w:basedOn w:val="1"/>
    <w:link w:val="154"/>
    <w:qFormat/>
    <w:uiPriority w:val="0"/>
    <w:pPr>
      <w:topLinePunct w:val="0"/>
      <w:spacing w:after="156" w:afterLines="50" w:afterAutospacing="0"/>
      <w:jc w:val="left"/>
      <w:textAlignment w:val="baseline"/>
    </w:pPr>
    <w:rPr>
      <w:kern w:val="0"/>
    </w:rPr>
  </w:style>
  <w:style w:type="character" w:customStyle="1" w:styleId="156">
    <w:name w:val="样式 正文（首行缩进两字） Char + 加粗 Char Char"/>
    <w:link w:val="157"/>
    <w:qFormat/>
    <w:uiPriority w:val="0"/>
    <w:rPr>
      <w:rFonts w:eastAsia="宋体"/>
      <w:b/>
      <w:spacing w:val="-6"/>
      <w:kern w:val="21"/>
      <w:sz w:val="21"/>
      <w:lang w:val="en-US" w:eastAsia="zh-CN"/>
    </w:rPr>
  </w:style>
  <w:style w:type="paragraph" w:customStyle="1" w:styleId="157">
    <w:name w:val="样式 正文（首行缩进两字） Char + 加粗 Char"/>
    <w:basedOn w:val="128"/>
    <w:link w:val="156"/>
    <w:qFormat/>
    <w:uiPriority w:val="0"/>
    <w:pPr>
      <w:snapToGrid w:val="0"/>
      <w:spacing w:after="31" w:afterLines="10" w:afterAutospacing="0"/>
      <w:ind w:firstLine="200"/>
    </w:pPr>
    <w:rPr>
      <w:b/>
    </w:rPr>
  </w:style>
  <w:style w:type="character" w:customStyle="1" w:styleId="158">
    <w:name w:val="正文文本 Char1 Char"/>
    <w:qFormat/>
    <w:uiPriority w:val="0"/>
    <w:rPr>
      <w:rFonts w:ascii="Arial" w:hAnsi="Arial" w:eastAsia="宋体"/>
      <w:kern w:val="2"/>
      <w:sz w:val="18"/>
      <w:lang w:val="en-US" w:eastAsia="zh-CN"/>
    </w:rPr>
  </w:style>
  <w:style w:type="character" w:customStyle="1" w:styleId="159">
    <w:name w:val="附录标题2 Char"/>
    <w:link w:val="160"/>
    <w:qFormat/>
    <w:uiPriority w:val="0"/>
    <w:rPr>
      <w:rFonts w:ascii="Arial" w:hAnsi="Arial" w:eastAsia="黑体"/>
      <w:kern w:val="2"/>
      <w:sz w:val="21"/>
    </w:rPr>
  </w:style>
  <w:style w:type="paragraph" w:customStyle="1" w:styleId="160">
    <w:name w:val="附录标题2"/>
    <w:basedOn w:val="2"/>
    <w:next w:val="72"/>
    <w:link w:val="159"/>
    <w:qFormat/>
    <w:uiPriority w:val="0"/>
    <w:pPr>
      <w:keepNext w:val="0"/>
      <w:keepLines w:val="0"/>
      <w:tabs>
        <w:tab w:val="left" w:pos="500"/>
      </w:tabs>
      <w:topLinePunct w:val="0"/>
      <w:snapToGrid w:val="0"/>
      <w:spacing w:before="78" w:beforeLines="25" w:after="46" w:afterLines="15" w:line="240" w:lineRule="auto"/>
      <w:ind w:left="500" w:hanging="500"/>
      <w:jc w:val="left"/>
    </w:pPr>
    <w:rPr>
      <w:b w:val="0"/>
      <w:sz w:val="21"/>
    </w:rPr>
  </w:style>
  <w:style w:type="character" w:customStyle="1" w:styleId="161">
    <w:name w:val="发布"/>
    <w:qFormat/>
    <w:uiPriority w:val="0"/>
    <w:rPr>
      <w:rFonts w:ascii="黑体" w:eastAsia="黑体"/>
      <w:spacing w:val="22"/>
      <w:w w:val="100"/>
      <w:position w:val="3"/>
      <w:sz w:val="28"/>
    </w:rPr>
  </w:style>
  <w:style w:type="character" w:customStyle="1" w:styleId="162">
    <w:name w:val="样式1正文（首行缩进两字） Char Char Char"/>
    <w:qFormat/>
    <w:uiPriority w:val="0"/>
    <w:rPr>
      <w:rFonts w:eastAsia="宋体"/>
      <w:kern w:val="2"/>
      <w:sz w:val="21"/>
      <w:lang w:val="en-US" w:eastAsia="zh-CN"/>
    </w:rPr>
  </w:style>
  <w:style w:type="character" w:customStyle="1" w:styleId="163">
    <w:name w:val="样式2 Char"/>
    <w:link w:val="164"/>
    <w:qFormat/>
    <w:uiPriority w:val="0"/>
    <w:rPr>
      <w:rFonts w:ascii="EU-F1" w:eastAsia="黑体"/>
      <w:kern w:val="2"/>
      <w:sz w:val="21"/>
      <w:lang w:val="en-US" w:eastAsia="zh-CN"/>
    </w:rPr>
  </w:style>
  <w:style w:type="paragraph" w:customStyle="1" w:styleId="164">
    <w:name w:val="样式2"/>
    <w:basedOn w:val="1"/>
    <w:link w:val="163"/>
    <w:qFormat/>
    <w:uiPriority w:val="0"/>
    <w:pPr>
      <w:spacing w:line="312" w:lineRule="exact"/>
    </w:pPr>
    <w:rPr>
      <w:rFonts w:ascii="EU-F1" w:eastAsia="黑体"/>
    </w:rPr>
  </w:style>
  <w:style w:type="character" w:customStyle="1" w:styleId="165">
    <w:name w:val="个人撰写风格"/>
    <w:qFormat/>
    <w:uiPriority w:val="0"/>
    <w:rPr>
      <w:rFonts w:ascii="Arial" w:hAnsi="Arial" w:eastAsia="宋体"/>
      <w:color w:val="auto"/>
      <w:sz w:val="20"/>
    </w:rPr>
  </w:style>
  <w:style w:type="character" w:customStyle="1" w:styleId="166">
    <w:name w:val="朱2 Char"/>
    <w:link w:val="167"/>
    <w:qFormat/>
    <w:uiPriority w:val="0"/>
    <w:rPr>
      <w:lang w:val="en-US" w:eastAsia="zh-CN"/>
    </w:rPr>
  </w:style>
  <w:style w:type="paragraph" w:customStyle="1" w:styleId="167">
    <w:name w:val="朱2"/>
    <w:basedOn w:val="164"/>
    <w:link w:val="166"/>
    <w:qFormat/>
    <w:uiPriority w:val="0"/>
  </w:style>
  <w:style w:type="character" w:customStyle="1" w:styleId="168">
    <w:name w:val="样式 a首行缩进:  0 字符 段前: 0 行 + 黑体 Char"/>
    <w:link w:val="169"/>
    <w:qFormat/>
    <w:uiPriority w:val="0"/>
    <w:rPr>
      <w:rFonts w:eastAsia="黑体"/>
      <w:sz w:val="21"/>
      <w:lang w:val="en-US" w:eastAsia="zh-CN"/>
    </w:rPr>
  </w:style>
  <w:style w:type="paragraph" w:customStyle="1" w:styleId="169">
    <w:name w:val="样式 a首行缩进:  0 字符 段前: 0 行 + 黑体"/>
    <w:basedOn w:val="155"/>
    <w:link w:val="168"/>
    <w:qFormat/>
    <w:uiPriority w:val="0"/>
    <w:rPr>
      <w:rFonts w:eastAsia="黑体"/>
    </w:rPr>
  </w:style>
  <w:style w:type="character" w:customStyle="1" w:styleId="170">
    <w:name w:val="样式 样式 Times New Roman 首行缩进:  0.74 厘米 段前: 0行 行距1.15 + (符号) Tim... Char"/>
    <w:link w:val="171"/>
    <w:qFormat/>
    <w:uiPriority w:val="0"/>
    <w:rPr>
      <w:lang w:val="en-US" w:eastAsia="zh-CN"/>
    </w:rPr>
  </w:style>
  <w:style w:type="paragraph" w:customStyle="1" w:styleId="171">
    <w:name w:val="样式 样式 Times New Roman 首行缩进:  0.74 厘米 段前: 0行 行距1.15 + (符号) Tim..."/>
    <w:basedOn w:val="152"/>
    <w:link w:val="170"/>
    <w:qFormat/>
    <w:uiPriority w:val="0"/>
  </w:style>
  <w:style w:type="character" w:customStyle="1" w:styleId="172">
    <w:name w:val="一级条标题 Char"/>
    <w:link w:val="173"/>
    <w:qFormat/>
    <w:uiPriority w:val="0"/>
    <w:rPr>
      <w:rFonts w:eastAsia="黑体"/>
      <w:sz w:val="21"/>
    </w:rPr>
  </w:style>
  <w:style w:type="paragraph" w:customStyle="1" w:styleId="173">
    <w:name w:val="一级条标题"/>
    <w:next w:val="120"/>
    <w:link w:val="172"/>
    <w:qFormat/>
    <w:uiPriority w:val="0"/>
    <w:pPr>
      <w:widowControl w:val="0"/>
      <w:adjustRightInd w:val="0"/>
      <w:spacing w:line="360" w:lineRule="atLeast"/>
      <w:jc w:val="both"/>
      <w:textAlignment w:val="baseline"/>
      <w:outlineLvl w:val="2"/>
    </w:pPr>
    <w:rPr>
      <w:rFonts w:ascii="Times New Roman" w:hAnsi="Times New Roman" w:eastAsia="黑体" w:cs="Times New Roman"/>
      <w:sz w:val="21"/>
      <w:lang w:val="en-US" w:eastAsia="zh-CN" w:bidi="ar-SA"/>
    </w:rPr>
  </w:style>
  <w:style w:type="character" w:customStyle="1" w:styleId="174">
    <w:name w:val="标语"/>
    <w:qFormat/>
    <w:uiPriority w:val="0"/>
    <w:rPr>
      <w:i/>
      <w:spacing w:val="-6"/>
      <w:sz w:val="24"/>
    </w:rPr>
  </w:style>
  <w:style w:type="character" w:customStyle="1" w:styleId="175">
    <w:name w:val=" Char Char2"/>
    <w:qFormat/>
    <w:uiPriority w:val="0"/>
    <w:rPr>
      <w:rFonts w:ascii="Arial" w:hAnsi="Arial" w:eastAsia="宋体"/>
      <w:kern w:val="2"/>
      <w:sz w:val="21"/>
      <w:lang w:val="en-US" w:eastAsia="zh-CN"/>
    </w:rPr>
  </w:style>
  <w:style w:type="character" w:customStyle="1" w:styleId="176">
    <w:name w:val="H1 Char"/>
    <w:qFormat/>
    <w:uiPriority w:val="0"/>
    <w:rPr>
      <w:rFonts w:ascii="Arial" w:hAnsi="Arial" w:eastAsia="黑体"/>
      <w:kern w:val="21"/>
      <w:sz w:val="21"/>
      <w:lang w:val="en-US" w:eastAsia="zh-CN"/>
    </w:rPr>
  </w:style>
  <w:style w:type="character" w:customStyle="1" w:styleId="177">
    <w:name w:val="列表编号 2 Char Char"/>
    <w:qFormat/>
    <w:uiPriority w:val="0"/>
    <w:rPr>
      <w:rFonts w:ascii="Arial" w:hAnsi="Arial" w:eastAsia="宋体"/>
      <w:sz w:val="18"/>
      <w:lang w:val="en-US" w:eastAsia="zh-CN"/>
    </w:rPr>
  </w:style>
  <w:style w:type="character" w:customStyle="1" w:styleId="178">
    <w:name w:val="样式 样式 样式 标题 2 + 段前: 0.1 行 + 段前: 0.1 行 + Times New Roman Char"/>
    <w:link w:val="179"/>
    <w:qFormat/>
    <w:uiPriority w:val="0"/>
    <w:rPr>
      <w:b/>
      <w:kern w:val="2"/>
      <w:sz w:val="21"/>
    </w:rPr>
  </w:style>
  <w:style w:type="paragraph" w:customStyle="1" w:styleId="179">
    <w:name w:val="样式 样式 样式 标题 2 + 段前: 0.1 行 + 段前: 0.1 行 + Times New Roman"/>
    <w:basedOn w:val="180"/>
    <w:link w:val="178"/>
    <w:qFormat/>
    <w:uiPriority w:val="0"/>
    <w:pPr>
      <w:tabs>
        <w:tab w:val="left" w:pos="210"/>
        <w:tab w:val="left" w:pos="360"/>
        <w:tab w:val="left" w:pos="420"/>
        <w:tab w:val="left" w:pos="500"/>
      </w:tabs>
      <w:spacing w:before="156" w:beforeLines="50" w:after="156" w:afterLines="50" w:line="240" w:lineRule="auto"/>
    </w:pPr>
  </w:style>
  <w:style w:type="paragraph" w:customStyle="1" w:styleId="180">
    <w:name w:val="样式1 样式 标题 2 + 段前: 0行"/>
    <w:basedOn w:val="2"/>
    <w:next w:val="1"/>
    <w:qFormat/>
    <w:uiPriority w:val="0"/>
    <w:pPr>
      <w:keepNext w:val="0"/>
      <w:keepLines w:val="0"/>
      <w:tabs>
        <w:tab w:val="left" w:pos="210"/>
        <w:tab w:val="left" w:pos="360"/>
      </w:tabs>
      <w:topLinePunct w:val="0"/>
      <w:adjustRightInd/>
      <w:spacing w:before="0" w:after="0" w:line="276" w:lineRule="auto"/>
    </w:pPr>
    <w:rPr>
      <w:rFonts w:ascii="Times New Roman" w:hAnsi="Times New Roman" w:eastAsia="宋体"/>
      <w:sz w:val="21"/>
    </w:rPr>
  </w:style>
  <w:style w:type="character" w:customStyle="1" w:styleId="181">
    <w:name w:val="上标"/>
    <w:qFormat/>
    <w:uiPriority w:val="0"/>
    <w:rPr>
      <w:b/>
      <w:vertAlign w:val="superscript"/>
    </w:rPr>
  </w:style>
  <w:style w:type="character" w:customStyle="1" w:styleId="182">
    <w:name w:val="表格条文首行缩进 Char"/>
    <w:link w:val="183"/>
    <w:qFormat/>
    <w:uiPriority w:val="0"/>
    <w:rPr>
      <w:rFonts w:ascii="宋体" w:hAnsi="宋体" w:eastAsia="宋体"/>
      <w:sz w:val="24"/>
      <w:lang w:val="en-US" w:eastAsia="zh-CN"/>
    </w:rPr>
  </w:style>
  <w:style w:type="paragraph" w:customStyle="1" w:styleId="183">
    <w:name w:val="表格条文首行缩进"/>
    <w:basedOn w:val="1"/>
    <w:link w:val="182"/>
    <w:qFormat/>
    <w:uiPriority w:val="0"/>
    <w:pPr>
      <w:topLinePunct w:val="0"/>
      <w:adjustRightInd/>
      <w:spacing w:line="360" w:lineRule="auto"/>
      <w:ind w:firstLine="480" w:firstLineChars="200"/>
      <w:jc w:val="left"/>
    </w:pPr>
    <w:rPr>
      <w:rFonts w:ascii="宋体" w:hAnsi="宋体"/>
      <w:kern w:val="0"/>
      <w:sz w:val="24"/>
    </w:rPr>
  </w:style>
  <w:style w:type="character" w:customStyle="1" w:styleId="184">
    <w:name w:val="UCI Header 1 Char Char"/>
    <w:qFormat/>
    <w:uiPriority w:val="0"/>
    <w:rPr>
      <w:rFonts w:eastAsia="宋体"/>
      <w:b/>
      <w:kern w:val="44"/>
      <w:sz w:val="44"/>
      <w:lang w:val="en-US" w:eastAsia="zh-CN"/>
    </w:rPr>
  </w:style>
  <w:style w:type="character" w:customStyle="1" w:styleId="185">
    <w:name w:val="样式 宋体"/>
    <w:qFormat/>
    <w:uiPriority w:val="0"/>
    <w:rPr>
      <w:rFonts w:ascii="宋体" w:eastAsia="宋体"/>
      <w:sz w:val="18"/>
    </w:rPr>
  </w:style>
  <w:style w:type="paragraph" w:customStyle="1" w:styleId="186">
    <w:name w:val="样式 样式 标题 6 + 段前: 0.1 行 + Times New Roman"/>
    <w:basedOn w:val="187"/>
    <w:qFormat/>
    <w:uiPriority w:val="0"/>
    <w:pPr>
      <w:keepLines w:val="0"/>
      <w:tabs>
        <w:tab w:val="left" w:pos="210"/>
      </w:tabs>
      <w:spacing w:before="0" w:beforeLines="0" w:beforeAutospacing="0" w:line="276" w:lineRule="auto"/>
    </w:pPr>
  </w:style>
  <w:style w:type="paragraph" w:customStyle="1" w:styleId="187">
    <w:name w:val="样式 标题 6 + 段前: 0.1 行"/>
    <w:basedOn w:val="8"/>
    <w:qFormat/>
    <w:uiPriority w:val="0"/>
    <w:pPr>
      <w:keepNext w:val="0"/>
      <w:tabs>
        <w:tab w:val="left" w:pos="210"/>
      </w:tabs>
      <w:topLinePunct w:val="0"/>
      <w:adjustRightInd/>
      <w:spacing w:before="31" w:beforeLines="10" w:beforeAutospacing="0" w:after="0" w:afterLines="0" w:afterAutospacing="0" w:line="312" w:lineRule="auto"/>
    </w:pPr>
    <w:rPr>
      <w:rFonts w:ascii="Times New Roman" w:hAnsi="Times New Roman" w:eastAsia="宋体"/>
      <w:sz w:val="21"/>
    </w:rPr>
  </w:style>
  <w:style w:type="paragraph" w:customStyle="1" w:styleId="188">
    <w:name w:val="_列表编号1"/>
    <w:basedOn w:val="23"/>
    <w:qFormat/>
    <w:uiPriority w:val="0"/>
    <w:pPr>
      <w:tabs>
        <w:tab w:val="left" w:pos="800"/>
      </w:tabs>
      <w:snapToGrid w:val="0"/>
      <w:spacing w:before="0" w:beforeLines="0" w:beforeAutospacing="0" w:line="276" w:lineRule="auto"/>
      <w:ind w:left="800" w:hanging="400"/>
    </w:pPr>
  </w:style>
  <w:style w:type="paragraph" w:customStyle="1" w:styleId="189">
    <w:name w:val="插图名称"/>
    <w:basedOn w:val="1"/>
    <w:next w:val="1"/>
    <w:qFormat/>
    <w:uiPriority w:val="0"/>
    <w:pPr>
      <w:tabs>
        <w:tab w:val="left" w:pos="420"/>
      </w:tabs>
      <w:topLinePunct w:val="0"/>
      <w:adjustRightInd/>
      <w:jc w:val="center"/>
    </w:pPr>
    <w:rPr>
      <w:rFonts w:ascii="黑体" w:eastAsia="黑体"/>
    </w:rPr>
  </w:style>
  <w:style w:type="paragraph" w:customStyle="1" w:styleId="190">
    <w:name w:val="正文图标题"/>
    <w:next w:val="120"/>
    <w:qFormat/>
    <w:uiPriority w:val="0"/>
    <w:pPr>
      <w:widowControl w:val="0"/>
      <w:adjustRightInd w:val="0"/>
      <w:spacing w:line="360" w:lineRule="atLeast"/>
      <w:ind w:left="1980"/>
      <w:jc w:val="center"/>
      <w:textAlignment w:val="baseline"/>
    </w:pPr>
    <w:rPr>
      <w:rFonts w:ascii="黑体" w:hAnsi="Times New Roman" w:eastAsia="黑体" w:cs="Times New Roman"/>
      <w:sz w:val="21"/>
      <w:lang w:val="en-US" w:eastAsia="zh-CN" w:bidi="ar-SA"/>
    </w:rPr>
  </w:style>
  <w:style w:type="paragraph" w:customStyle="1" w:styleId="191">
    <w:name w:val="五级条标题"/>
    <w:basedOn w:val="192"/>
    <w:next w:val="120"/>
    <w:qFormat/>
    <w:uiPriority w:val="0"/>
    <w:pPr>
      <w:numPr>
        <w:ilvl w:val="0"/>
        <w:numId w:val="0"/>
      </w:numPr>
      <w:outlineLvl w:val="6"/>
    </w:pPr>
  </w:style>
  <w:style w:type="paragraph" w:customStyle="1" w:styleId="192">
    <w:name w:val="四级条标题"/>
    <w:basedOn w:val="193"/>
    <w:next w:val="120"/>
    <w:qFormat/>
    <w:uiPriority w:val="0"/>
    <w:pPr>
      <w:numPr>
        <w:ilvl w:val="5"/>
        <w:numId w:val="2"/>
      </w:numPr>
      <w:outlineLvl w:val="5"/>
    </w:pPr>
  </w:style>
  <w:style w:type="paragraph" w:customStyle="1" w:styleId="193">
    <w:name w:val="三级条标题"/>
    <w:basedOn w:val="194"/>
    <w:next w:val="120"/>
    <w:qFormat/>
    <w:uiPriority w:val="0"/>
    <w:pPr>
      <w:numPr>
        <w:ilvl w:val="4"/>
        <w:numId w:val="2"/>
      </w:numPr>
      <w:outlineLvl w:val="4"/>
    </w:pPr>
  </w:style>
  <w:style w:type="paragraph" w:customStyle="1" w:styleId="194">
    <w:name w:val="二级条标题"/>
    <w:basedOn w:val="173"/>
    <w:next w:val="120"/>
    <w:qFormat/>
    <w:uiPriority w:val="0"/>
    <w:pPr>
      <w:numPr>
        <w:ilvl w:val="0"/>
        <w:numId w:val="0"/>
      </w:numPr>
      <w:outlineLvl w:val="3"/>
    </w:pPr>
  </w:style>
  <w:style w:type="paragraph" w:customStyle="1" w:styleId="195">
    <w:name w:val="Char1 Char Char Char Char Char Char Char Char Char Char Char"/>
    <w:basedOn w:val="1"/>
    <w:qFormat/>
    <w:uiPriority w:val="0"/>
    <w:pPr>
      <w:pageBreakBefore/>
      <w:tabs>
        <w:tab w:val="left" w:pos="432"/>
      </w:tabs>
      <w:topLinePunct w:val="0"/>
      <w:adjustRightInd/>
      <w:ind w:left="432" w:hanging="432"/>
    </w:pPr>
    <w:rPr>
      <w:rFonts w:ascii="Tahoma" w:hAnsi="Tahoma"/>
      <w:sz w:val="24"/>
    </w:rPr>
  </w:style>
  <w:style w:type="paragraph" w:customStyle="1" w:styleId="196">
    <w:name w:val=".."/>
    <w:basedOn w:val="197"/>
    <w:next w:val="197"/>
    <w:qFormat/>
    <w:uiPriority w:val="0"/>
    <w:rPr>
      <w:color w:val="auto"/>
    </w:rPr>
  </w:style>
  <w:style w:type="paragraph" w:customStyle="1" w:styleId="197">
    <w:name w:val="Default"/>
    <w:qFormat/>
    <w:uiPriority w:val="0"/>
    <w:pPr>
      <w:widowControl w:val="0"/>
      <w:autoSpaceDE w:val="0"/>
      <w:autoSpaceDN w:val="0"/>
      <w:adjustRightInd w:val="0"/>
    </w:pPr>
    <w:rPr>
      <w:rFonts w:ascii="宋体" w:hAnsi="Times New Roman" w:eastAsia="宋体" w:cs="Times New Roman"/>
      <w:color w:val="000000"/>
      <w:sz w:val="24"/>
      <w:lang w:val="en-US" w:eastAsia="zh-CN" w:bidi="ar-SA"/>
    </w:rPr>
  </w:style>
  <w:style w:type="paragraph" w:customStyle="1" w:styleId="198">
    <w:name w:val="回信地址"/>
    <w:basedOn w:val="1"/>
    <w:qFormat/>
    <w:uiPriority w:val="0"/>
    <w:pPr>
      <w:keepLines/>
      <w:widowControl/>
      <w:topLinePunct w:val="0"/>
      <w:adjustRightInd/>
      <w:spacing w:line="220" w:lineRule="atLeast"/>
      <w:jc w:val="left"/>
    </w:pPr>
    <w:rPr>
      <w:rFonts w:ascii="Arial" w:hAnsi="Arial"/>
      <w:kern w:val="0"/>
      <w:sz w:val="15"/>
    </w:rPr>
  </w:style>
  <w:style w:type="paragraph" w:customStyle="1" w:styleId="199">
    <w:name w:val="工程建设款标题"/>
    <w:basedOn w:val="200"/>
    <w:qFormat/>
    <w:uiPriority w:val="0"/>
    <w:pPr>
      <w:numPr>
        <w:ilvl w:val="7"/>
        <w:numId w:val="3"/>
      </w:numPr>
      <w:tabs>
        <w:tab w:val="clear" w:pos="720"/>
      </w:tabs>
      <w:outlineLvl w:val="9"/>
    </w:pPr>
  </w:style>
  <w:style w:type="paragraph" w:customStyle="1" w:styleId="200">
    <w:name w:val="工程建设条标题"/>
    <w:basedOn w:val="201"/>
    <w:next w:val="120"/>
    <w:qFormat/>
    <w:uiPriority w:val="0"/>
    <w:pPr>
      <w:numPr>
        <w:ilvl w:val="3"/>
        <w:numId w:val="3"/>
      </w:numPr>
      <w:spacing w:before="0" w:after="0"/>
      <w:jc w:val="left"/>
      <w:outlineLvl w:val="3"/>
    </w:pPr>
    <w:rPr>
      <w:b w:val="0"/>
    </w:rPr>
  </w:style>
  <w:style w:type="paragraph" w:customStyle="1" w:styleId="201">
    <w:name w:val="工程建设节标题"/>
    <w:basedOn w:val="202"/>
    <w:next w:val="120"/>
    <w:qFormat/>
    <w:uiPriority w:val="0"/>
    <w:pPr>
      <w:numPr>
        <w:ilvl w:val="2"/>
        <w:numId w:val="3"/>
      </w:numPr>
      <w:spacing w:before="400" w:after="400" w:line="240" w:lineRule="auto"/>
      <w:outlineLvl w:val="2"/>
    </w:pPr>
    <w:rPr>
      <w:sz w:val="21"/>
    </w:rPr>
  </w:style>
  <w:style w:type="paragraph" w:customStyle="1" w:styleId="202">
    <w:name w:val="工程建设章标题"/>
    <w:next w:val="120"/>
    <w:qFormat/>
    <w:uiPriority w:val="0"/>
    <w:pPr>
      <w:numPr>
        <w:ilvl w:val="1"/>
        <w:numId w:val="3"/>
      </w:numPr>
      <w:spacing w:before="640" w:after="560" w:line="480" w:lineRule="exact"/>
      <w:jc w:val="center"/>
      <w:outlineLvl w:val="1"/>
    </w:pPr>
    <w:rPr>
      <w:rFonts w:ascii="黑体" w:hAnsi="Times New Roman" w:eastAsia="黑体" w:cs="Times New Roman"/>
      <w:b/>
      <w:sz w:val="28"/>
      <w:lang w:val="en-US" w:eastAsia="zh-CN" w:bidi="ar-SA"/>
    </w:rPr>
  </w:style>
  <w:style w:type="paragraph" w:customStyle="1" w:styleId="203">
    <w:name w:val="CM54"/>
    <w:basedOn w:val="197"/>
    <w:next w:val="197"/>
    <w:qFormat/>
    <w:uiPriority w:val="0"/>
    <w:rPr>
      <w:rFonts w:ascii="Times New Roman"/>
      <w:color w:val="auto"/>
    </w:rPr>
  </w:style>
  <w:style w:type="paragraph" w:customStyle="1" w:styleId="204">
    <w:name w:val="Normal"/>
    <w:qFormat/>
    <w:uiPriority w:val="0"/>
    <w:pPr>
      <w:widowControl w:val="0"/>
      <w:adjustRightInd w:val="0"/>
      <w:spacing w:line="312" w:lineRule="atLeast"/>
      <w:jc w:val="both"/>
      <w:textAlignment w:val="baseline"/>
    </w:pPr>
    <w:rPr>
      <w:rFonts w:ascii="宋体" w:hAnsi="Times New Roman" w:eastAsia="宋体" w:cs="Times New Roman"/>
      <w:sz w:val="34"/>
      <w:lang w:val="en-US" w:eastAsia="zh-CN" w:bidi="ar-SA"/>
    </w:rPr>
  </w:style>
  <w:style w:type="paragraph" w:customStyle="1" w:styleId="205">
    <w:name w:val="参考文献、索引标题"/>
    <w:basedOn w:val="206"/>
    <w:next w:val="1"/>
    <w:qFormat/>
    <w:uiPriority w:val="0"/>
    <w:pPr>
      <w:spacing w:after="200" w:afterLines="0" w:afterAutospacing="0"/>
    </w:pPr>
    <w:rPr>
      <w:sz w:val="21"/>
    </w:rPr>
  </w:style>
  <w:style w:type="paragraph" w:customStyle="1" w:styleId="206">
    <w:name w:val="前言、引言标题"/>
    <w:next w:val="1"/>
    <w:qFormat/>
    <w:uiPriority w:val="0"/>
    <w:pPr>
      <w:widowControl w:val="0"/>
      <w:shd w:val="clear" w:color="FFFFFF" w:fill="FFFFFF"/>
      <w:adjustRightInd w:val="0"/>
      <w:spacing w:before="640" w:after="560" w:line="360" w:lineRule="atLeast"/>
      <w:jc w:val="center"/>
      <w:textAlignment w:val="baseline"/>
      <w:outlineLvl w:val="0"/>
    </w:pPr>
    <w:rPr>
      <w:rFonts w:ascii="黑体" w:hAnsi="Times New Roman" w:eastAsia="黑体" w:cs="Times New Roman"/>
      <w:sz w:val="32"/>
      <w:lang w:val="en-US" w:eastAsia="zh-CN" w:bidi="ar-SA"/>
    </w:rPr>
  </w:style>
  <w:style w:type="paragraph" w:customStyle="1" w:styleId="207">
    <w:name w:val="样式1 标题 5 + 段前: 0.1 行 + 段前: 0.1 行"/>
    <w:basedOn w:val="1"/>
    <w:qFormat/>
    <w:uiPriority w:val="0"/>
    <w:pPr>
      <w:tabs>
        <w:tab w:val="left" w:pos="357"/>
        <w:tab w:val="left" w:pos="1134"/>
      </w:tabs>
      <w:topLinePunct w:val="0"/>
      <w:adjustRightInd/>
      <w:spacing w:before="31" w:beforeLines="10" w:beforeAutospacing="0" w:line="312" w:lineRule="auto"/>
    </w:pPr>
  </w:style>
  <w:style w:type="paragraph" w:customStyle="1" w:styleId="208">
    <w:name w:val="基准目录样式"/>
    <w:basedOn w:val="1"/>
    <w:qFormat/>
    <w:uiPriority w:val="0"/>
    <w:pPr>
      <w:widowControl/>
      <w:tabs>
        <w:tab w:val="right" w:leader="dot" w:pos="-18551"/>
      </w:tabs>
      <w:topLinePunct w:val="0"/>
      <w:adjustRightInd/>
      <w:spacing w:after="220" w:afterLines="0" w:afterAutospacing="0" w:line="220" w:lineRule="atLeast"/>
      <w:jc w:val="left"/>
    </w:pPr>
    <w:rPr>
      <w:rFonts w:ascii="Arial" w:hAnsi="Arial"/>
      <w:kern w:val="0"/>
    </w:rPr>
  </w:style>
  <w:style w:type="paragraph" w:customStyle="1" w:styleId="209">
    <w:name w:val="样式 正文（首行缩进两字） Char + 黑色 首行缩进:  2 字符 段前: 0.1 行"/>
    <w:basedOn w:val="128"/>
    <w:qFormat/>
    <w:uiPriority w:val="0"/>
    <w:pPr>
      <w:snapToGrid w:val="0"/>
      <w:spacing w:before="24" w:beforeLines="0" w:beforeAutospacing="0" w:after="31" w:afterLines="10" w:afterAutospacing="0"/>
      <w:ind w:firstLine="200"/>
    </w:pPr>
    <w:rPr>
      <w:color w:val="000000"/>
    </w:rPr>
  </w:style>
  <w:style w:type="paragraph" w:customStyle="1" w:styleId="210">
    <w:name w:val="MTDisplayEquation"/>
    <w:basedOn w:val="1"/>
    <w:next w:val="1"/>
    <w:qFormat/>
    <w:uiPriority w:val="0"/>
    <w:pPr>
      <w:tabs>
        <w:tab w:val="center" w:pos="4160"/>
        <w:tab w:val="right" w:pos="8300"/>
      </w:tabs>
      <w:spacing w:line="312" w:lineRule="auto"/>
    </w:pPr>
  </w:style>
  <w:style w:type="paragraph" w:customStyle="1" w:styleId="211">
    <w:name w:val="_列表编号2"/>
    <w:basedOn w:val="23"/>
    <w:qFormat/>
    <w:uiPriority w:val="0"/>
    <w:pPr>
      <w:tabs>
        <w:tab w:val="left" w:pos="1200"/>
      </w:tabs>
      <w:snapToGrid w:val="0"/>
      <w:spacing w:before="0" w:beforeLines="0" w:beforeAutospacing="0" w:line="276" w:lineRule="auto"/>
      <w:ind w:left="1200" w:hanging="400"/>
    </w:pPr>
  </w:style>
  <w:style w:type="paragraph" w:customStyle="1" w:styleId="212">
    <w:name w:val="样式1 标题 1 + 段前: 0.7 行 段后: 0.7 行 + 段前: 1 行 段后: 1 行"/>
    <w:basedOn w:val="213"/>
    <w:qFormat/>
    <w:uiPriority w:val="0"/>
    <w:pPr>
      <w:tabs>
        <w:tab w:val="left" w:pos="360"/>
        <w:tab w:val="left" w:pos="1021"/>
      </w:tabs>
      <w:spacing w:before="312" w:beforeLines="100" w:beforeAutospacing="0" w:after="312" w:afterLines="100" w:afterAutospacing="0"/>
    </w:pPr>
  </w:style>
  <w:style w:type="paragraph" w:customStyle="1" w:styleId="213">
    <w:name w:val="样式 标题 1 + 段前: 0.7 行 段后: 0.7 行"/>
    <w:basedOn w:val="4"/>
    <w:qFormat/>
    <w:uiPriority w:val="0"/>
    <w:pPr>
      <w:tabs>
        <w:tab w:val="left" w:pos="360"/>
      </w:tabs>
      <w:topLinePunct w:val="0"/>
      <w:adjustRightInd/>
      <w:spacing w:before="218" w:beforeLines="70" w:beforeAutospacing="0" w:after="218" w:afterLines="70" w:afterAutospacing="0" w:line="240" w:lineRule="auto"/>
      <w:jc w:val="left"/>
    </w:pPr>
    <w:rPr>
      <w:kern w:val="21"/>
      <w:sz w:val="21"/>
    </w:rPr>
  </w:style>
  <w:style w:type="paragraph" w:customStyle="1" w:styleId="214">
    <w:name w:val="工程建设无节条标题"/>
    <w:basedOn w:val="1"/>
    <w:next w:val="120"/>
    <w:qFormat/>
    <w:uiPriority w:val="0"/>
    <w:pPr>
      <w:numPr>
        <w:ilvl w:val="8"/>
        <w:numId w:val="3"/>
      </w:numPr>
      <w:tabs>
        <w:tab w:val="clear" w:pos="720"/>
      </w:tabs>
      <w:topLinePunct w:val="0"/>
      <w:adjustRightInd/>
      <w:outlineLvl w:val="3"/>
    </w:pPr>
  </w:style>
  <w:style w:type="paragraph" w:customStyle="1" w:styleId="215">
    <w:name w:val="术语定义条标题"/>
    <w:basedOn w:val="119"/>
    <w:next w:val="120"/>
    <w:qFormat/>
    <w:uiPriority w:val="0"/>
    <w:pPr>
      <w:widowControl/>
      <w:numPr>
        <w:ilvl w:val="0"/>
        <w:numId w:val="4"/>
      </w:numPr>
      <w:tabs>
        <w:tab w:val="left" w:pos="420"/>
        <w:tab w:val="clear" w:pos="360"/>
      </w:tabs>
      <w:adjustRightInd/>
      <w:spacing w:before="0" w:beforeLines="0" w:after="0" w:afterLines="0" w:line="240" w:lineRule="auto"/>
      <w:jc w:val="left"/>
      <w:textAlignment w:val="auto"/>
      <w:outlineLvl w:val="9"/>
    </w:pPr>
    <w:rPr>
      <w:b/>
    </w:rPr>
  </w:style>
  <w:style w:type="paragraph" w:customStyle="1" w:styleId="216">
    <w:name w:val="节标签"/>
    <w:basedOn w:val="217"/>
    <w:next w:val="34"/>
    <w:qFormat/>
    <w:uiPriority w:val="0"/>
    <w:pPr>
      <w:spacing w:before="400" w:beforeLines="0" w:beforeAutospacing="0" w:after="440" w:afterLines="0" w:afterAutospacing="0"/>
    </w:pPr>
    <w:rPr>
      <w:rFonts w:ascii="Times New Roman" w:hAnsi="Times New Roman"/>
      <w:spacing w:val="-30"/>
      <w:sz w:val="60"/>
    </w:rPr>
  </w:style>
  <w:style w:type="paragraph" w:customStyle="1" w:styleId="217">
    <w:name w:val="基准标题"/>
    <w:basedOn w:val="1"/>
    <w:next w:val="34"/>
    <w:qFormat/>
    <w:uiPriority w:val="0"/>
    <w:pPr>
      <w:keepNext/>
      <w:keepLines/>
      <w:widowControl/>
      <w:topLinePunct w:val="0"/>
      <w:adjustRightInd/>
      <w:spacing w:before="140" w:beforeLines="0" w:beforeAutospacing="0" w:line="220" w:lineRule="atLeast"/>
      <w:jc w:val="left"/>
    </w:pPr>
    <w:rPr>
      <w:rFonts w:ascii="Arial" w:hAnsi="Arial"/>
      <w:spacing w:val="-4"/>
      <w:kern w:val="28"/>
      <w:sz w:val="22"/>
    </w:rPr>
  </w:style>
  <w:style w:type="paragraph" w:customStyle="1" w:styleId="218">
    <w:name w:val="样式1 样式 标题 6 + 段前: 0.1 行 + Times New Roman 段前: 0.1 行"/>
    <w:basedOn w:val="1"/>
    <w:qFormat/>
    <w:uiPriority w:val="0"/>
    <w:pPr>
      <w:tabs>
        <w:tab w:val="left" w:pos="210"/>
        <w:tab w:val="left" w:pos="1080"/>
      </w:tabs>
      <w:topLinePunct w:val="0"/>
      <w:adjustRightInd/>
      <w:spacing w:line="276" w:lineRule="auto"/>
      <w:outlineLvl w:val="5"/>
    </w:pPr>
    <w:rPr>
      <w:b/>
    </w:rPr>
  </w:style>
  <w:style w:type="paragraph" w:customStyle="1" w:styleId="219">
    <w:name w:val="正文表标题"/>
    <w:next w:val="120"/>
    <w:qFormat/>
    <w:uiPriority w:val="0"/>
    <w:pPr>
      <w:widowControl w:val="0"/>
      <w:adjustRightInd w:val="0"/>
      <w:spacing w:line="360" w:lineRule="atLeast"/>
      <w:jc w:val="center"/>
      <w:textAlignment w:val="baseline"/>
    </w:pPr>
    <w:rPr>
      <w:rFonts w:ascii="黑体" w:hAnsi="Times New Roman" w:eastAsia="黑体" w:cs="Times New Roman"/>
      <w:sz w:val="21"/>
      <w:lang w:val="en-US" w:eastAsia="zh-CN" w:bidi="ar-SA"/>
    </w:rPr>
  </w:style>
  <w:style w:type="paragraph" w:customStyle="1" w:styleId="220">
    <w:name w:val="标准称谓"/>
    <w:next w:val="1"/>
    <w:qFormat/>
    <w:uiPriority w:val="0"/>
    <w:pPr>
      <w:widowControl w:val="0"/>
      <w:kinsoku w:val="0"/>
      <w:overflowPunct w:val="0"/>
      <w:autoSpaceDE w:val="0"/>
      <w:autoSpaceDN w:val="0"/>
      <w:adjustRightInd w:val="0"/>
      <w:spacing w:line="0" w:lineRule="atLeast"/>
      <w:jc w:val="distribute"/>
      <w:textAlignment w:val="baseline"/>
    </w:pPr>
    <w:rPr>
      <w:rFonts w:ascii="宋体" w:hAnsi="Times New Roman" w:eastAsia="宋体" w:cs="Times New Roman"/>
      <w:b/>
      <w:spacing w:val="20"/>
      <w:w w:val="148"/>
      <w:sz w:val="52"/>
      <w:lang w:val="en-US" w:eastAsia="zh-CN" w:bidi="ar-SA"/>
    </w:rPr>
  </w:style>
  <w:style w:type="paragraph" w:customStyle="1" w:styleId="221">
    <w:name w:val="标准文件_三级条标题"/>
    <w:basedOn w:val="222"/>
    <w:next w:val="1"/>
    <w:qFormat/>
    <w:uiPriority w:val="0"/>
    <w:pPr>
      <w:widowControl/>
      <w:numPr>
        <w:ilvl w:val="0"/>
        <w:numId w:val="0"/>
      </w:numPr>
      <w:tabs>
        <w:tab w:val="left" w:pos="0"/>
      </w:tabs>
      <w:topLinePunct w:val="0"/>
      <w:outlineLvl w:val="3"/>
    </w:pPr>
    <w:rPr>
      <w:rFonts w:hint="default"/>
    </w:rPr>
  </w:style>
  <w:style w:type="paragraph" w:customStyle="1" w:styleId="222">
    <w:name w:val="标准文件_二级条标题"/>
    <w:basedOn w:val="1"/>
    <w:next w:val="1"/>
    <w:qFormat/>
    <w:uiPriority w:val="0"/>
    <w:pPr>
      <w:numPr>
        <w:ilvl w:val="3"/>
        <w:numId w:val="5"/>
      </w:numPr>
      <w:adjustRightInd/>
      <w:spacing w:before="50" w:beforeLines="50" w:after="50" w:afterLines="50"/>
      <w:outlineLvl w:val="2"/>
    </w:pPr>
    <w:rPr>
      <w:rFonts w:hint="eastAsia" w:ascii="黑体" w:hAnsi="Times New Roman" w:eastAsia="黑体" w:cs="Times New Roman"/>
      <w:kern w:val="0"/>
      <w:sz w:val="21"/>
      <w:szCs w:val="20"/>
      <w:lang w:val="en-US" w:eastAsia="zh-CN" w:bidi="ar"/>
    </w:rPr>
  </w:style>
  <w:style w:type="paragraph" w:customStyle="1" w:styleId="223">
    <w:name w:val="样式 样式 正文缩进 + 首行缩进:  0 厘米1 +"/>
    <w:basedOn w:val="1"/>
    <w:qFormat/>
    <w:uiPriority w:val="0"/>
    <w:pPr>
      <w:topLinePunct w:val="0"/>
      <w:adjustRightInd/>
      <w:spacing w:before="31" w:beforeLines="10" w:beforeAutospacing="0"/>
    </w:pPr>
    <w:rPr>
      <w:kern w:val="0"/>
      <w:sz w:val="18"/>
    </w:rPr>
  </w:style>
  <w:style w:type="paragraph" w:customStyle="1" w:styleId="224">
    <w:name w:val="术语定义二级条标题"/>
    <w:basedOn w:val="215"/>
    <w:next w:val="120"/>
    <w:qFormat/>
    <w:uiPriority w:val="0"/>
    <w:pPr>
      <w:numPr>
        <w:ilvl w:val="1"/>
        <w:numId w:val="4"/>
      </w:numPr>
      <w:tabs>
        <w:tab w:val="clear" w:pos="720"/>
      </w:tabs>
    </w:pPr>
  </w:style>
  <w:style w:type="paragraph" w:customStyle="1" w:styleId="225">
    <w:name w:val="目次、标准名称标题"/>
    <w:basedOn w:val="206"/>
    <w:next w:val="120"/>
    <w:qFormat/>
    <w:uiPriority w:val="0"/>
    <w:pPr>
      <w:spacing w:line="460" w:lineRule="exact"/>
    </w:pPr>
  </w:style>
  <w:style w:type="paragraph" w:customStyle="1" w:styleId="226">
    <w:name w:val="一级无标题条"/>
    <w:basedOn w:val="1"/>
    <w:qFormat/>
    <w:uiPriority w:val="0"/>
    <w:pPr>
      <w:numPr>
        <w:ilvl w:val="2"/>
        <w:numId w:val="6"/>
      </w:numPr>
      <w:tabs>
        <w:tab w:val="left" w:pos="420"/>
      </w:tabs>
      <w:topLinePunct w:val="0"/>
      <w:adjustRightInd/>
    </w:pPr>
    <w:rPr>
      <w:b/>
    </w:rPr>
  </w:style>
  <w:style w:type="paragraph" w:customStyle="1" w:styleId="227">
    <w:name w:val="样式 Times New Roman 段前: 0.1 行 行距: 多倍行距 1.15 字行"/>
    <w:basedOn w:val="1"/>
    <w:qFormat/>
    <w:uiPriority w:val="0"/>
    <w:pPr>
      <w:topLinePunct w:val="0"/>
      <w:adjustRightInd/>
      <w:spacing w:line="276" w:lineRule="auto"/>
    </w:pPr>
  </w:style>
  <w:style w:type="paragraph" w:customStyle="1" w:styleId="228">
    <w:name w:val="样式1 样式 编号 a + Times New Roman 段前: 0 行 行距: 多倍行距 1.15 字行 + 左侧....."/>
    <w:basedOn w:val="229"/>
    <w:qFormat/>
    <w:uiPriority w:val="0"/>
    <w:pPr>
      <w:ind w:left="400" w:leftChars="200"/>
    </w:pPr>
  </w:style>
  <w:style w:type="paragraph" w:customStyle="1" w:styleId="229">
    <w:name w:val="样式1 样式 编号 a + Times New Roman 段前: 0 行 行距: 多倍行距 1.15 字行 + 左侧... + ..."/>
    <w:basedOn w:val="230"/>
    <w:qFormat/>
    <w:uiPriority w:val="0"/>
    <w:pPr>
      <w:spacing w:before="0" w:beforeLines="0" w:beforeAutospacing="0" w:after="0" w:afterLines="0" w:afterAutospacing="0"/>
      <w:ind w:left="620" w:hanging="200" w:hangingChars="200"/>
    </w:pPr>
  </w:style>
  <w:style w:type="paragraph" w:customStyle="1" w:styleId="230">
    <w:name w:val="样式 编号 a + Times New Roman 段前: 0 行 行距: 多倍行距 1.15 字行 + 左侧..."/>
    <w:basedOn w:val="128"/>
    <w:next w:val="231"/>
    <w:qFormat/>
    <w:uiPriority w:val="0"/>
    <w:pPr>
      <w:snapToGrid w:val="0"/>
      <w:spacing w:before="24" w:beforeLines="0" w:beforeAutospacing="0" w:after="31" w:afterLines="10" w:afterAutospacing="0"/>
      <w:ind w:firstLine="0" w:firstLineChars="0"/>
    </w:pPr>
  </w:style>
  <w:style w:type="paragraph" w:customStyle="1" w:styleId="231">
    <w:name w:val="样式1-4 Times New Roman行距: 多倍行距 1.15 字行 + 左侧:  4 字符"/>
    <w:basedOn w:val="232"/>
    <w:qFormat/>
    <w:uiPriority w:val="0"/>
    <w:pPr>
      <w:tabs>
        <w:tab w:val="left" w:pos="315"/>
      </w:tabs>
      <w:ind w:left="840" w:leftChars="400"/>
    </w:pPr>
  </w:style>
  <w:style w:type="paragraph" w:customStyle="1" w:styleId="232">
    <w:name w:val="样式 Times New Roman 段前: 0.1 行 行距: 多倍行距 1.2 字行"/>
    <w:basedOn w:val="1"/>
    <w:qFormat/>
    <w:uiPriority w:val="0"/>
    <w:pPr>
      <w:topLinePunct w:val="0"/>
      <w:adjustRightInd/>
      <w:spacing w:line="276" w:lineRule="auto"/>
      <w:ind w:left="420" w:leftChars="200"/>
    </w:pPr>
  </w:style>
  <w:style w:type="paragraph" w:customStyle="1" w:styleId="233">
    <w:name w:val="样式1 标题 2 + 段前: 0.1 行 + 宋体"/>
    <w:basedOn w:val="1"/>
    <w:qFormat/>
    <w:uiPriority w:val="0"/>
    <w:pPr>
      <w:tabs>
        <w:tab w:val="left" w:pos="500"/>
      </w:tabs>
      <w:topLinePunct w:val="0"/>
      <w:adjustRightInd/>
      <w:spacing w:before="31" w:beforeLines="10" w:beforeAutospacing="0" w:line="312" w:lineRule="auto"/>
    </w:pPr>
  </w:style>
  <w:style w:type="paragraph" w:customStyle="1" w:styleId="234">
    <w:name w:val="节标题"/>
    <w:basedOn w:val="4"/>
    <w:qFormat/>
    <w:uiPriority w:val="0"/>
    <w:pPr>
      <w:widowControl/>
      <w:shd w:val="pct10" w:color="auto" w:fill="auto"/>
      <w:tabs>
        <w:tab w:val="left" w:pos="570"/>
      </w:tabs>
      <w:topLinePunct w:val="0"/>
      <w:adjustRightInd/>
      <w:snapToGrid w:val="0"/>
      <w:spacing w:before="220" w:beforeLines="0" w:beforeAutospacing="0" w:after="220" w:afterLines="0" w:afterAutospacing="0" w:line="280" w:lineRule="atLeast"/>
      <w:ind w:left="570" w:hanging="570"/>
      <w:jc w:val="center"/>
    </w:pPr>
    <w:rPr>
      <w:rFonts w:ascii="Arial" w:hAnsi="Arial" w:eastAsia="黑体"/>
      <w:b w:val="0"/>
      <w:kern w:val="28"/>
      <w:position w:val="6"/>
    </w:rPr>
  </w:style>
  <w:style w:type="paragraph" w:customStyle="1" w:styleId="235">
    <w:name w:val="表"/>
    <w:basedOn w:val="1"/>
    <w:qFormat/>
    <w:uiPriority w:val="0"/>
    <w:pPr>
      <w:wordWrap w:val="0"/>
      <w:topLinePunct w:val="0"/>
      <w:spacing w:before="31" w:beforeLines="10" w:beforeAutospacing="0" w:after="120" w:afterLines="0" w:afterAutospacing="0" w:line="180" w:lineRule="atLeast"/>
      <w:jc w:val="left"/>
      <w:textAlignment w:val="baseline"/>
    </w:pPr>
    <w:rPr>
      <w:rFonts w:ascii="细宋体" w:eastAsia="细宋体"/>
      <w:kern w:val="0"/>
      <w:sz w:val="24"/>
    </w:rPr>
  </w:style>
  <w:style w:type="paragraph" w:customStyle="1" w:styleId="236">
    <w:name w:val="_表格条文"/>
    <w:basedOn w:val="1"/>
    <w:qFormat/>
    <w:uiPriority w:val="0"/>
    <w:pPr>
      <w:topLinePunct w:val="0"/>
      <w:adjustRightInd/>
      <w:spacing w:line="276" w:lineRule="auto"/>
    </w:pPr>
    <w:rPr>
      <w:rFonts w:ascii="Arial" w:hAnsi="Arial"/>
      <w:color w:val="000000"/>
      <w:sz w:val="18"/>
    </w:rPr>
  </w:style>
  <w:style w:type="paragraph" w:customStyle="1" w:styleId="237">
    <w:name w:val="标准书眉_奇数页"/>
    <w:next w:val="1"/>
    <w:qFormat/>
    <w:uiPriority w:val="0"/>
    <w:pPr>
      <w:widowControl w:val="0"/>
      <w:tabs>
        <w:tab w:val="center" w:pos="4154"/>
        <w:tab w:val="right" w:pos="8306"/>
      </w:tabs>
      <w:adjustRightInd w:val="0"/>
      <w:spacing w:after="120" w:line="360" w:lineRule="atLeast"/>
      <w:jc w:val="right"/>
      <w:textAlignment w:val="baseline"/>
    </w:pPr>
    <w:rPr>
      <w:rFonts w:ascii="Times New Roman" w:hAnsi="Times New Roman" w:eastAsia="宋体" w:cs="Times New Roman"/>
      <w:sz w:val="21"/>
      <w:lang w:val="en-US" w:eastAsia="zh-CN" w:bidi="ar-SA"/>
    </w:rPr>
  </w:style>
  <w:style w:type="paragraph" w:customStyle="1" w:styleId="238">
    <w:name w:val="二级无标题条"/>
    <w:basedOn w:val="1"/>
    <w:qFormat/>
    <w:uiPriority w:val="0"/>
    <w:pPr>
      <w:numPr>
        <w:ilvl w:val="0"/>
        <w:numId w:val="7"/>
      </w:numPr>
      <w:topLinePunct w:val="0"/>
      <w:adjustRightInd/>
    </w:pPr>
  </w:style>
  <w:style w:type="paragraph" w:customStyle="1" w:styleId="239">
    <w:name w:val="题目封页"/>
    <w:basedOn w:val="217"/>
    <w:next w:val="240"/>
    <w:qFormat/>
    <w:uiPriority w:val="0"/>
    <w:pPr>
      <w:spacing w:before="1800" w:beforeLines="0" w:beforeAutospacing="0" w:line="240" w:lineRule="atLeast"/>
      <w:jc w:val="center"/>
    </w:pPr>
    <w:rPr>
      <w:rFonts w:ascii="黑体" w:eastAsia="黑体"/>
      <w:b/>
      <w:spacing w:val="0"/>
      <w:sz w:val="52"/>
    </w:rPr>
  </w:style>
  <w:style w:type="paragraph" w:customStyle="1" w:styleId="240">
    <w:name w:val="副题目 – 封页"/>
    <w:basedOn w:val="239"/>
    <w:next w:val="34"/>
    <w:qFormat/>
    <w:uiPriority w:val="0"/>
    <w:pPr>
      <w:keepNext w:val="0"/>
      <w:keepLines w:val="0"/>
      <w:widowControl w:val="0"/>
      <w:spacing w:before="0" w:beforeLines="0" w:beforeAutospacing="0" w:after="60" w:afterLines="0" w:afterAutospacing="0" w:line="240" w:lineRule="auto"/>
    </w:pPr>
    <w:rPr>
      <w:rFonts w:ascii="Arial"/>
      <w:snapToGrid w:val="0"/>
      <w:color w:val="000000"/>
      <w:sz w:val="28"/>
    </w:rPr>
  </w:style>
  <w:style w:type="paragraph" w:customStyle="1" w:styleId="241">
    <w:name w:val="样式 Times New Roman 段前: 0.1 行 行距: 多倍行距 1.25 字行1"/>
    <w:basedOn w:val="1"/>
    <w:qFormat/>
    <w:uiPriority w:val="0"/>
    <w:pPr>
      <w:topLinePunct w:val="0"/>
      <w:adjustRightInd/>
      <w:spacing w:line="276" w:lineRule="auto"/>
      <w:ind w:firstLine="200" w:firstLineChars="200"/>
    </w:pPr>
    <w:rPr>
      <w:rFonts w:hAnsi="宋体"/>
    </w:rPr>
  </w:style>
  <w:style w:type="paragraph" w:customStyle="1" w:styleId="242">
    <w:name w:val="样式1 正文（首行缩进两字） Char + 黑色 首行缩进:  2 字符 段前: 0 行 行距: 多倍行距 1.15 ..."/>
    <w:basedOn w:val="1"/>
    <w:qFormat/>
    <w:uiPriority w:val="0"/>
    <w:pPr>
      <w:tabs>
        <w:tab w:val="left" w:pos="3885"/>
      </w:tabs>
      <w:overflowPunct w:val="0"/>
      <w:topLinePunct w:val="0"/>
      <w:adjustRightInd/>
      <w:snapToGrid w:val="0"/>
      <w:spacing w:before="31" w:beforeLines="10" w:beforeAutospacing="0" w:line="276" w:lineRule="auto"/>
      <w:ind w:firstLine="420"/>
    </w:pPr>
  </w:style>
  <w:style w:type="paragraph" w:customStyle="1" w:styleId="243">
    <w:name w:val="样式 样式 样式 标题 2 + 段前: 0.1 行 + 段前: 0.1 行 + 段前: 0.1 行 行距: 多倍行距 1.1 ..."/>
    <w:basedOn w:val="180"/>
    <w:qFormat/>
    <w:uiPriority w:val="0"/>
    <w:pPr>
      <w:tabs>
        <w:tab w:val="left" w:pos="500"/>
        <w:tab w:val="clear" w:pos="210"/>
        <w:tab w:val="clear" w:pos="360"/>
      </w:tabs>
      <w:spacing w:before="156" w:beforeLines="50" w:after="156" w:afterLines="50" w:line="240" w:lineRule="auto"/>
    </w:pPr>
    <w:rPr>
      <w:rFonts w:eastAsia="黑体"/>
      <w:b w:val="0"/>
    </w:rPr>
  </w:style>
  <w:style w:type="paragraph" w:customStyle="1" w:styleId="244">
    <w:name w:val="公司名"/>
    <w:basedOn w:val="245"/>
    <w:qFormat/>
    <w:uiPriority w:val="0"/>
    <w:pPr>
      <w:spacing w:before="0" w:beforeLines="0" w:beforeAutospacing="0"/>
    </w:pPr>
  </w:style>
  <w:style w:type="paragraph" w:customStyle="1" w:styleId="245">
    <w:name w:val="_标准名称"/>
    <w:basedOn w:val="1"/>
    <w:next w:val="34"/>
    <w:qFormat/>
    <w:uiPriority w:val="0"/>
    <w:pPr>
      <w:topLinePunct w:val="0"/>
      <w:adjustRightInd/>
      <w:snapToGrid w:val="0"/>
      <w:spacing w:before="567" w:beforeLines="0" w:beforeAutospacing="0" w:after="680" w:afterLines="0" w:afterAutospacing="0"/>
      <w:jc w:val="center"/>
    </w:pPr>
    <w:rPr>
      <w:rFonts w:ascii="Arial" w:hAnsi="Arial" w:eastAsia="黑体"/>
      <w:sz w:val="32"/>
    </w:rPr>
  </w:style>
  <w:style w:type="paragraph" w:customStyle="1" w:styleId="246">
    <w:name w:val="正文（首行缩进两字） Char Char1"/>
    <w:basedOn w:val="1"/>
    <w:next w:val="1"/>
    <w:qFormat/>
    <w:uiPriority w:val="0"/>
    <w:pPr>
      <w:topLinePunct w:val="0"/>
      <w:adjustRightInd/>
      <w:spacing w:before="78" w:beforeLines="25" w:beforeAutospacing="0" w:line="300" w:lineRule="auto"/>
      <w:ind w:firstLine="420" w:firstLineChars="200"/>
    </w:pPr>
    <w:rPr>
      <w:rFonts w:ascii="Arial" w:hAnsi="Arial"/>
    </w:rPr>
  </w:style>
  <w:style w:type="paragraph" w:customStyle="1" w:styleId="247">
    <w:name w:val="样式 段 + Verdana 小四 自定义颜(RGB(171717))"/>
    <w:basedOn w:val="120"/>
    <w:qFormat/>
    <w:uiPriority w:val="0"/>
    <w:pPr>
      <w:widowControl/>
      <w:autoSpaceDE/>
      <w:autoSpaceDN/>
      <w:adjustRightInd/>
      <w:snapToGrid w:val="0"/>
      <w:spacing w:line="300" w:lineRule="auto"/>
      <w:textAlignment w:val="auto"/>
    </w:pPr>
    <w:rPr>
      <w:rFonts w:ascii="Verdana" w:hAnsi="Verdana"/>
      <w:color w:val="111111"/>
      <w:sz w:val="24"/>
    </w:rPr>
  </w:style>
  <w:style w:type="paragraph" w:customStyle="1" w:styleId="248">
    <w:name w:val="样式 样式1 标题 1 + 段前: 0.7 行 段后: 0.7 行 + 段前: 1 行 段后: 1 行 + 段前: 0.7 行..."/>
    <w:basedOn w:val="249"/>
    <w:qFormat/>
    <w:uiPriority w:val="0"/>
    <w:pPr>
      <w:tabs>
        <w:tab w:val="left" w:pos="360"/>
      </w:tabs>
      <w:spacing w:before="100" w:beforeLines="0" w:beforeAutospacing="0" w:after="100" w:afterLines="0" w:afterAutospacing="0"/>
    </w:pPr>
  </w:style>
  <w:style w:type="paragraph" w:customStyle="1" w:styleId="249">
    <w:name w:val="样式1 标题 1 + 段前: 1 行 段后: 1 行"/>
    <w:basedOn w:val="213"/>
    <w:qFormat/>
    <w:uiPriority w:val="0"/>
    <w:pPr>
      <w:spacing w:before="312" w:beforeLines="100" w:beforeAutospacing="0" w:after="312" w:afterLines="100" w:afterAutospacing="0"/>
    </w:pPr>
    <w:rPr>
      <w:rFonts w:eastAsia="黑体"/>
      <w:b w:val="0"/>
    </w:rPr>
  </w:style>
  <w:style w:type="paragraph" w:customStyle="1" w:styleId="250">
    <w:name w:val="样式 目录 2 + 段前: 0.15 行 段后: 0.15 行1"/>
    <w:basedOn w:val="63"/>
    <w:qFormat/>
    <w:uiPriority w:val="0"/>
    <w:pPr>
      <w:tabs>
        <w:tab w:val="left" w:pos="840"/>
        <w:tab w:val="left" w:pos="993"/>
        <w:tab w:val="right" w:leader="dot" w:pos="9344"/>
      </w:tabs>
      <w:adjustRightInd/>
      <w:snapToGrid w:val="0"/>
      <w:spacing w:before="46" w:beforeLines="15" w:beforeAutospacing="0" w:after="46" w:afterLines="15" w:afterAutospacing="0" w:line="240" w:lineRule="auto"/>
      <w:ind w:left="100" w:leftChars="100" w:rightChars="100" w:firstLine="357" w:firstLineChars="170"/>
      <w:textAlignment w:val="auto"/>
    </w:pPr>
    <w:rPr>
      <w:rFonts w:ascii="Arial" w:hAnsi="Arial"/>
      <w:kern w:val="0"/>
    </w:rPr>
  </w:style>
  <w:style w:type="paragraph" w:customStyle="1" w:styleId="251">
    <w:name w:val="_列项符号3"/>
    <w:basedOn w:val="28"/>
    <w:qFormat/>
    <w:uiPriority w:val="0"/>
    <w:pPr>
      <w:tabs>
        <w:tab w:val="left" w:pos="1680"/>
      </w:tabs>
      <w:snapToGrid w:val="0"/>
      <w:spacing w:line="276" w:lineRule="auto"/>
      <w:ind w:left="1680" w:leftChars="600" w:hanging="420" w:hangingChars="800"/>
    </w:pPr>
  </w:style>
  <w:style w:type="paragraph" w:customStyle="1" w:styleId="252">
    <w:name w:val="二级无"/>
    <w:basedOn w:val="194"/>
    <w:qFormat/>
    <w:uiPriority w:val="0"/>
    <w:pPr>
      <w:widowControl/>
      <w:numPr>
        <w:ilvl w:val="2"/>
        <w:numId w:val="8"/>
      </w:numPr>
      <w:adjustRightInd/>
      <w:spacing w:line="240" w:lineRule="auto"/>
      <w:jc w:val="left"/>
      <w:textAlignment w:val="auto"/>
    </w:pPr>
    <w:rPr>
      <w:rFonts w:ascii="宋体" w:eastAsia="宋体"/>
      <w:szCs w:val="21"/>
    </w:rPr>
  </w:style>
  <w:style w:type="paragraph" w:customStyle="1" w:styleId="253">
    <w:name w:val="标准文件_一级条标题"/>
    <w:next w:val="1"/>
    <w:qFormat/>
    <w:uiPriority w:val="0"/>
    <w:pPr>
      <w:numPr>
        <w:ilvl w:val="2"/>
        <w:numId w:val="5"/>
      </w:numPr>
      <w:spacing w:before="50" w:beforeLines="50" w:after="50" w:afterLines="50"/>
      <w:jc w:val="both"/>
      <w:outlineLvl w:val="1"/>
    </w:pPr>
    <w:rPr>
      <w:rFonts w:hint="eastAsia" w:ascii="黑体" w:hAnsi="Times New Roman" w:eastAsia="黑体" w:cs="Times New Roman"/>
      <w:sz w:val="21"/>
      <w:lang w:val="en-US" w:eastAsia="zh-CN" w:bidi="ar-SA"/>
    </w:rPr>
  </w:style>
  <w:style w:type="paragraph" w:customStyle="1" w:styleId="254">
    <w:name w:val="封面标准号2"/>
    <w:basedOn w:val="255"/>
    <w:qFormat/>
    <w:uiPriority w:val="0"/>
    <w:pPr>
      <w:spacing w:before="357" w:beforeLines="0" w:beforeAutospacing="0" w:line="280" w:lineRule="exact"/>
    </w:pPr>
  </w:style>
  <w:style w:type="paragraph" w:customStyle="1" w:styleId="255">
    <w:name w:val="封面标准号1"/>
    <w:qFormat/>
    <w:uiPriority w:val="0"/>
    <w:pPr>
      <w:widowControl w:val="0"/>
      <w:kinsoku w:val="0"/>
      <w:overflowPunct w:val="0"/>
      <w:autoSpaceDE w:val="0"/>
      <w:autoSpaceDN w:val="0"/>
      <w:adjustRightInd w:val="0"/>
      <w:spacing w:before="308" w:line="360" w:lineRule="atLeast"/>
      <w:jc w:val="right"/>
      <w:textAlignment w:val="center"/>
    </w:pPr>
    <w:rPr>
      <w:rFonts w:ascii="Times New Roman" w:hAnsi="Times New Roman" w:eastAsia="宋体" w:cs="Times New Roman"/>
      <w:sz w:val="28"/>
      <w:lang w:val="en-US" w:eastAsia="zh-CN" w:bidi="ar-SA"/>
    </w:rPr>
  </w:style>
  <w:style w:type="paragraph" w:customStyle="1" w:styleId="256">
    <w:name w:val=" Char1 Char Char Char Char Char Char Char Char Char Char Char"/>
    <w:basedOn w:val="1"/>
    <w:qFormat/>
    <w:uiPriority w:val="0"/>
    <w:pPr>
      <w:pageBreakBefore/>
      <w:tabs>
        <w:tab w:val="left" w:pos="432"/>
      </w:tabs>
      <w:topLinePunct w:val="0"/>
      <w:adjustRightInd/>
      <w:ind w:left="432" w:hanging="432"/>
    </w:pPr>
    <w:rPr>
      <w:rFonts w:ascii="Tahoma" w:hAnsi="Tahoma"/>
      <w:sz w:val="24"/>
    </w:rPr>
  </w:style>
  <w:style w:type="paragraph" w:customStyle="1" w:styleId="257">
    <w:name w:val="样式 Times New Roman 首行缩进:  0.74 厘米 段前: 0.1 行"/>
    <w:basedOn w:val="1"/>
    <w:qFormat/>
    <w:uiPriority w:val="0"/>
    <w:pPr>
      <w:topLinePunct w:val="0"/>
      <w:adjustRightInd/>
      <w:spacing w:before="31" w:beforeLines="10" w:beforeAutospacing="0" w:line="312" w:lineRule="auto"/>
      <w:ind w:firstLine="420"/>
    </w:pPr>
    <w:rPr>
      <w:b/>
    </w:rPr>
  </w:style>
  <w:style w:type="paragraph" w:customStyle="1" w:styleId="258">
    <w:name w:val="样式 标题 4 + 段前: 0.1 行"/>
    <w:basedOn w:val="6"/>
    <w:qFormat/>
    <w:uiPriority w:val="0"/>
    <w:pPr>
      <w:keepNext w:val="0"/>
      <w:keepLines w:val="0"/>
      <w:tabs>
        <w:tab w:val="left" w:pos="105"/>
        <w:tab w:val="left" w:pos="840"/>
        <w:tab w:val="left" w:pos="900"/>
        <w:tab w:val="left" w:pos="1155"/>
      </w:tabs>
      <w:topLinePunct w:val="0"/>
      <w:adjustRightInd/>
      <w:spacing w:before="0" w:beforeLines="0" w:beforeAutospacing="0" w:after="0" w:afterLines="0" w:afterAutospacing="0" w:line="276" w:lineRule="auto"/>
    </w:pPr>
    <w:rPr>
      <w:rFonts w:ascii="Times New Roman" w:hAnsi="Times New Roman" w:eastAsia="宋体"/>
      <w:sz w:val="21"/>
    </w:rPr>
  </w:style>
  <w:style w:type="paragraph" w:customStyle="1" w:styleId="259">
    <w:name w:val="块引用"/>
    <w:basedOn w:val="34"/>
    <w:qFormat/>
    <w:uiPriority w:val="0"/>
    <w:pPr>
      <w:keepLines/>
      <w:widowControl/>
      <w:pBdr>
        <w:left w:val="single" w:color="808080" w:sz="36" w:space="3"/>
        <w:bottom w:val="single" w:color="FFFFFF" w:sz="48" w:space="3"/>
      </w:pBdr>
      <w:topLinePunct w:val="0"/>
      <w:spacing w:before="31" w:beforeLines="10" w:beforeAutospacing="0" w:after="0" w:afterLines="0" w:afterAutospacing="0" w:line="360" w:lineRule="atLeast"/>
      <w:ind w:left="2109" w:right="284" w:hanging="635"/>
      <w:jc w:val="center"/>
    </w:pPr>
    <w:rPr>
      <w:rFonts w:ascii="Arial" w:hAnsi="Arial"/>
      <w:kern w:val="0"/>
      <w:sz w:val="18"/>
    </w:rPr>
  </w:style>
  <w:style w:type="paragraph" w:customStyle="1" w:styleId="260">
    <w:name w:val="标准文件_附录表标号"/>
    <w:basedOn w:val="1"/>
    <w:next w:val="1"/>
    <w:qFormat/>
    <w:uiPriority w:val="0"/>
    <w:pPr>
      <w:widowControl/>
      <w:numPr>
        <w:ilvl w:val="0"/>
        <w:numId w:val="9"/>
      </w:numPr>
      <w:topLinePunct w:val="0"/>
      <w:autoSpaceDE w:val="0"/>
      <w:autoSpaceDN w:val="0"/>
      <w:adjustRightInd/>
      <w:spacing w:line="14" w:lineRule="exact"/>
      <w:ind w:firstLine="0"/>
      <w:jc w:val="center"/>
    </w:pPr>
    <w:rPr>
      <w:rFonts w:ascii="宋体" w:eastAsia="黑体"/>
      <w:vanish/>
      <w:kern w:val="0"/>
      <w:sz w:val="2"/>
    </w:rPr>
  </w:style>
  <w:style w:type="paragraph" w:customStyle="1" w:styleId="261">
    <w:name w:val="样式标题 3 + Arial 段前: 0.1 行"/>
    <w:basedOn w:val="1"/>
    <w:qFormat/>
    <w:uiPriority w:val="0"/>
    <w:pPr>
      <w:tabs>
        <w:tab w:val="left" w:pos="357"/>
      </w:tabs>
      <w:topLinePunct w:val="0"/>
      <w:adjustRightInd/>
      <w:spacing w:before="31" w:beforeLines="10" w:beforeAutospacing="0" w:line="312" w:lineRule="auto"/>
    </w:pPr>
  </w:style>
  <w:style w:type="paragraph" w:customStyle="1" w:styleId="262">
    <w:name w:val="样式1 标题 2 + 段前: 0行 + 段前: 0.5 行 段后: 0.5 行"/>
    <w:basedOn w:val="180"/>
    <w:qFormat/>
    <w:uiPriority w:val="0"/>
    <w:pPr>
      <w:numPr>
        <w:ilvl w:val="1"/>
        <w:numId w:val="0"/>
      </w:numPr>
      <w:tabs>
        <w:tab w:val="left" w:pos="500"/>
        <w:tab w:val="clear" w:pos="210"/>
        <w:tab w:val="clear" w:pos="360"/>
      </w:tabs>
      <w:spacing w:before="93" w:beforeLines="30" w:beforeAutospacing="0" w:after="93" w:afterLines="30" w:afterAutospacing="0" w:line="240" w:lineRule="auto"/>
    </w:pPr>
    <w:rPr>
      <w:rFonts w:eastAsia="黑体"/>
      <w:b w:val="0"/>
    </w:rPr>
  </w:style>
  <w:style w:type="paragraph" w:customStyle="1" w:styleId="263">
    <w:name w:val="附录四级条标题"/>
    <w:basedOn w:val="264"/>
    <w:next w:val="120"/>
    <w:qFormat/>
    <w:uiPriority w:val="0"/>
    <w:pPr>
      <w:outlineLvl w:val="5"/>
    </w:pPr>
  </w:style>
  <w:style w:type="paragraph" w:customStyle="1" w:styleId="264">
    <w:name w:val="附录三级条标题"/>
    <w:basedOn w:val="265"/>
    <w:next w:val="120"/>
    <w:qFormat/>
    <w:uiPriority w:val="0"/>
    <w:pPr>
      <w:outlineLvl w:val="4"/>
    </w:pPr>
  </w:style>
  <w:style w:type="paragraph" w:customStyle="1" w:styleId="265">
    <w:name w:val="附录二级条标题"/>
    <w:basedOn w:val="266"/>
    <w:next w:val="120"/>
    <w:qFormat/>
    <w:uiPriority w:val="0"/>
    <w:pPr>
      <w:outlineLvl w:val="3"/>
    </w:pPr>
  </w:style>
  <w:style w:type="paragraph" w:customStyle="1" w:styleId="266">
    <w:name w:val="附录一级条标题"/>
    <w:basedOn w:val="267"/>
    <w:next w:val="120"/>
    <w:qFormat/>
    <w:uiPriority w:val="0"/>
    <w:pPr>
      <w:autoSpaceDN w:val="0"/>
      <w:spacing w:before="0" w:beforeLines="0" w:beforeAutospacing="0" w:after="0" w:afterLines="0" w:afterAutospacing="0"/>
      <w:outlineLvl w:val="2"/>
    </w:pPr>
  </w:style>
  <w:style w:type="paragraph" w:customStyle="1" w:styleId="267">
    <w:name w:val="附录章标题"/>
    <w:next w:val="120"/>
    <w:qFormat/>
    <w:uiPriority w:val="0"/>
    <w:pPr>
      <w:widowControl w:val="0"/>
      <w:wordWrap w:val="0"/>
      <w:overflowPunct w:val="0"/>
      <w:autoSpaceDE w:val="0"/>
      <w:adjustRightInd w:val="0"/>
      <w:spacing w:before="156" w:beforeLines="50" w:after="156" w:afterLines="50" w:line="360" w:lineRule="atLeast"/>
      <w:jc w:val="both"/>
      <w:textAlignment w:val="baseline"/>
      <w:outlineLvl w:val="1"/>
    </w:pPr>
    <w:rPr>
      <w:rFonts w:ascii="黑体" w:hAnsi="Times New Roman" w:eastAsia="黑体" w:cs="Times New Roman"/>
      <w:kern w:val="21"/>
      <w:sz w:val="21"/>
      <w:lang w:val="en-US" w:eastAsia="zh-CN" w:bidi="ar-SA"/>
    </w:rPr>
  </w:style>
  <w:style w:type="paragraph" w:customStyle="1" w:styleId="268">
    <w:name w:val="样式 目录 1 + 首行缩进:  0.74 厘米"/>
    <w:basedOn w:val="52"/>
    <w:qFormat/>
    <w:uiPriority w:val="0"/>
    <w:pPr>
      <w:adjustRightInd/>
      <w:spacing w:before="31" w:beforeLines="10" w:beforeAutospacing="0" w:line="312" w:lineRule="auto"/>
      <w:textAlignment w:val="auto"/>
    </w:pPr>
    <w:rPr>
      <w:sz w:val="20"/>
    </w:rPr>
  </w:style>
  <w:style w:type="paragraph" w:customStyle="1" w:styleId="269">
    <w:name w:val="基准页眉样式"/>
    <w:basedOn w:val="1"/>
    <w:qFormat/>
    <w:uiPriority w:val="0"/>
    <w:pPr>
      <w:keepLines/>
      <w:widowControl/>
      <w:tabs>
        <w:tab w:val="center" w:pos="-18551"/>
        <w:tab w:val="right" w:pos="4320"/>
      </w:tabs>
      <w:topLinePunct w:val="0"/>
      <w:adjustRightInd/>
      <w:spacing w:line="300" w:lineRule="auto"/>
      <w:jc w:val="left"/>
    </w:pPr>
    <w:rPr>
      <w:rFonts w:ascii="Arial" w:hAnsi="Arial"/>
      <w:spacing w:val="-4"/>
      <w:kern w:val="0"/>
    </w:rPr>
  </w:style>
  <w:style w:type="paragraph" w:customStyle="1" w:styleId="270">
    <w:name w:val="默认段落字体 Para Char Char Char Char"/>
    <w:basedOn w:val="1"/>
    <w:qFormat/>
    <w:uiPriority w:val="0"/>
    <w:pPr>
      <w:topLinePunct w:val="0"/>
      <w:adjustRightInd/>
    </w:pPr>
  </w:style>
  <w:style w:type="paragraph" w:customStyle="1" w:styleId="271">
    <w:name w:val="样式 正文（首行缩进两字） Char + 首行缩进:  2 字符 段前: 0.1 行 行距: 多倍行距 1.25 字行"/>
    <w:basedOn w:val="128"/>
    <w:qFormat/>
    <w:uiPriority w:val="0"/>
    <w:pPr>
      <w:snapToGrid w:val="0"/>
      <w:spacing w:after="31" w:afterLines="10" w:afterAutospacing="0"/>
      <w:ind w:firstLine="200"/>
    </w:pPr>
  </w:style>
  <w:style w:type="paragraph" w:customStyle="1" w:styleId="272">
    <w:name w:val="公式"/>
    <w:basedOn w:val="42"/>
    <w:qFormat/>
    <w:uiPriority w:val="0"/>
    <w:pPr>
      <w:tabs>
        <w:tab w:val="center" w:pos="4706"/>
        <w:tab w:val="right" w:pos="9412"/>
      </w:tabs>
      <w:topLinePunct w:val="0"/>
    </w:pPr>
    <w:rPr>
      <w:rFonts w:ascii="Times New Roman" w:hAnsi="宋体"/>
    </w:rPr>
  </w:style>
  <w:style w:type="paragraph" w:customStyle="1" w:styleId="273">
    <w:name w:val="附录表标题"/>
    <w:next w:val="120"/>
    <w:qFormat/>
    <w:uiPriority w:val="0"/>
    <w:pPr>
      <w:widowControl w:val="0"/>
      <w:tabs>
        <w:tab w:val="left" w:pos="360"/>
      </w:tabs>
      <w:adjustRightInd w:val="0"/>
      <w:spacing w:line="360" w:lineRule="atLeast"/>
      <w:jc w:val="center"/>
      <w:textAlignment w:val="baseline"/>
    </w:pPr>
    <w:rPr>
      <w:rFonts w:ascii="黑体" w:hAnsi="Times New Roman" w:eastAsia="黑体" w:cs="Times New Roman"/>
      <w:kern w:val="21"/>
      <w:sz w:val="21"/>
      <w:lang w:val="en-US" w:eastAsia="zh-CN" w:bidi="ar-SA"/>
    </w:rPr>
  </w:style>
  <w:style w:type="paragraph" w:customStyle="1" w:styleId="274">
    <w:name w:val="正文表标题续表"/>
    <w:basedOn w:val="219"/>
    <w:next w:val="120"/>
    <w:qFormat/>
    <w:uiPriority w:val="0"/>
    <w:pPr>
      <w:widowControl/>
      <w:numPr>
        <w:ilvl w:val="2"/>
        <w:numId w:val="10"/>
      </w:numPr>
      <w:tabs>
        <w:tab w:val="left" w:pos="420"/>
      </w:tabs>
      <w:adjustRightInd/>
      <w:spacing w:line="360" w:lineRule="auto"/>
      <w:textAlignment w:val="auto"/>
    </w:pPr>
    <w:rPr>
      <w:rFonts w:ascii="宋体" w:hAnsi="宋体" w:eastAsia="宋体"/>
    </w:rPr>
  </w:style>
  <w:style w:type="paragraph" w:customStyle="1" w:styleId="275">
    <w:name w:val="目次、索引正文"/>
    <w:qFormat/>
    <w:uiPriority w:val="0"/>
    <w:pPr>
      <w:widowControl w:val="0"/>
      <w:adjustRightInd w:val="0"/>
      <w:spacing w:line="320" w:lineRule="exact"/>
      <w:jc w:val="both"/>
      <w:textAlignment w:val="baseline"/>
    </w:pPr>
    <w:rPr>
      <w:rFonts w:ascii="宋体" w:hAnsi="Times New Roman" w:eastAsia="宋体" w:cs="Times New Roman"/>
      <w:sz w:val="21"/>
      <w:lang w:val="en-US" w:eastAsia="zh-CN" w:bidi="ar-SA"/>
    </w:rPr>
  </w:style>
  <w:style w:type="paragraph" w:customStyle="1" w:styleId="276">
    <w:name w:val="图片"/>
    <w:basedOn w:val="1"/>
    <w:qFormat/>
    <w:uiPriority w:val="0"/>
    <w:pPr>
      <w:adjustRightInd/>
      <w:snapToGrid w:val="0"/>
      <w:spacing w:before="160" w:beforeLines="0" w:beforeAutospacing="0" w:after="60" w:afterLines="0" w:afterAutospacing="0"/>
      <w:jc w:val="center"/>
    </w:pPr>
  </w:style>
  <w:style w:type="paragraph" w:customStyle="1" w:styleId="277">
    <w:name w:val="引言一级条标题"/>
    <w:basedOn w:val="1"/>
    <w:next w:val="120"/>
    <w:qFormat/>
    <w:uiPriority w:val="0"/>
    <w:pPr>
      <w:widowControl/>
      <w:numPr>
        <w:ilvl w:val="0"/>
        <w:numId w:val="11"/>
      </w:numPr>
      <w:tabs>
        <w:tab w:val="clear" w:pos="360"/>
      </w:tabs>
      <w:topLinePunct w:val="0"/>
      <w:adjustRightInd/>
    </w:pPr>
    <w:rPr>
      <w:rFonts w:eastAsia="黑体"/>
      <w:b/>
    </w:rPr>
  </w:style>
  <w:style w:type="paragraph" w:customStyle="1" w:styleId="278">
    <w:name w:val="附录标题1"/>
    <w:basedOn w:val="4"/>
    <w:next w:val="160"/>
    <w:qFormat/>
    <w:uiPriority w:val="0"/>
    <w:pPr>
      <w:tabs>
        <w:tab w:val="left" w:pos="700"/>
      </w:tabs>
      <w:topLinePunct w:val="0"/>
      <w:adjustRightInd/>
      <w:snapToGrid w:val="0"/>
      <w:spacing w:before="0" w:beforeLines="0" w:beforeAutospacing="0" w:after="0" w:afterLines="0" w:afterAutospacing="0" w:line="240" w:lineRule="auto"/>
      <w:ind w:left="300" w:hanging="300"/>
      <w:jc w:val="left"/>
    </w:pPr>
    <w:rPr>
      <w:rFonts w:ascii="Arial" w:hAnsi="Arial" w:eastAsia="黑体"/>
      <w:color w:val="FFFFFF"/>
      <w:kern w:val="21"/>
      <w:sz w:val="18"/>
    </w:rPr>
  </w:style>
  <w:style w:type="paragraph" w:customStyle="1" w:styleId="279">
    <w:name w:val="样式 正文文本 2 + 段前: 0.1 行"/>
    <w:basedOn w:val="65"/>
    <w:qFormat/>
    <w:uiPriority w:val="0"/>
    <w:pPr>
      <w:spacing w:before="31" w:beforeLines="10" w:beforeAutospacing="0" w:after="0" w:afterLines="0" w:afterAutospacing="0" w:line="264" w:lineRule="auto"/>
      <w:jc w:val="left"/>
    </w:pPr>
    <w:rPr>
      <w:rFonts w:ascii="Times New Roman" w:hAnsi="Times New Roman"/>
      <w:sz w:val="18"/>
    </w:rPr>
  </w:style>
  <w:style w:type="paragraph" w:customStyle="1" w:styleId="280">
    <w:name w:val="附录一"/>
    <w:basedOn w:val="1"/>
    <w:qFormat/>
    <w:uiPriority w:val="0"/>
    <w:pPr>
      <w:topLinePunct w:val="0"/>
      <w:adjustRightInd/>
      <w:spacing w:line="480" w:lineRule="auto"/>
    </w:pPr>
    <w:rPr>
      <w:rFonts w:ascii="E-F1" w:eastAsia="黑体"/>
    </w:rPr>
  </w:style>
  <w:style w:type="paragraph" w:customStyle="1" w:styleId="281">
    <w:name w:val="标准文件_附录表标题"/>
    <w:next w:val="1"/>
    <w:qFormat/>
    <w:uiPriority w:val="0"/>
    <w:pPr>
      <w:numPr>
        <w:ilvl w:val="1"/>
        <w:numId w:val="9"/>
      </w:numPr>
      <w:adjustRightInd w:val="0"/>
      <w:snapToGrid w:val="0"/>
      <w:spacing w:before="50" w:beforeLines="50" w:after="50" w:afterLines="50"/>
      <w:jc w:val="center"/>
      <w:textAlignment w:val="baseline"/>
    </w:pPr>
    <w:rPr>
      <w:rFonts w:ascii="黑体" w:hAnsi="Times New Roman" w:eastAsia="黑体" w:cs="Times New Roman"/>
      <w:kern w:val="21"/>
      <w:sz w:val="21"/>
      <w:lang w:val="en-US" w:eastAsia="zh-CN" w:bidi="ar-SA"/>
    </w:rPr>
  </w:style>
  <w:style w:type="paragraph" w:customStyle="1" w:styleId="282">
    <w:name w:val="列项◆（三级）"/>
    <w:qFormat/>
    <w:uiPriority w:val="0"/>
    <w:pPr>
      <w:widowControl w:val="0"/>
      <w:tabs>
        <w:tab w:val="left" w:pos="960"/>
      </w:tabs>
      <w:adjustRightInd w:val="0"/>
      <w:spacing w:line="360" w:lineRule="atLeast"/>
      <w:ind w:left="800" w:leftChars="600" w:hanging="200" w:hangingChars="200"/>
      <w:jc w:val="both"/>
      <w:textAlignment w:val="baseline"/>
    </w:pPr>
    <w:rPr>
      <w:rFonts w:ascii="宋体" w:hAnsi="Times New Roman" w:eastAsia="宋体" w:cs="Times New Roman"/>
      <w:sz w:val="21"/>
      <w:lang w:val="en-US" w:eastAsia="zh-CN" w:bidi="ar-SA"/>
    </w:rPr>
  </w:style>
  <w:style w:type="paragraph" w:customStyle="1" w:styleId="283">
    <w:name w:val="注释"/>
    <w:basedOn w:val="1"/>
    <w:qFormat/>
    <w:uiPriority w:val="0"/>
    <w:pPr>
      <w:topLinePunct w:val="0"/>
      <w:adjustRightInd/>
      <w:spacing w:before="31" w:beforeLines="10" w:beforeAutospacing="0" w:line="264" w:lineRule="auto"/>
      <w:ind w:left="400" w:leftChars="200" w:rightChars="200" w:hanging="200" w:hangingChars="200"/>
    </w:pPr>
    <w:rPr>
      <w:rFonts w:ascii="Arial" w:hAnsi="Arial"/>
    </w:rPr>
  </w:style>
  <w:style w:type="paragraph" w:customStyle="1" w:styleId="284">
    <w:name w:val="实施日期"/>
    <w:basedOn w:val="285"/>
    <w:qFormat/>
    <w:uiPriority w:val="0"/>
    <w:pPr>
      <w:jc w:val="right"/>
    </w:pPr>
  </w:style>
  <w:style w:type="paragraph" w:customStyle="1" w:styleId="285">
    <w:name w:val="发布日期"/>
    <w:qFormat/>
    <w:uiPriority w:val="0"/>
    <w:pPr>
      <w:widowControl w:val="0"/>
      <w:adjustRightInd w:val="0"/>
      <w:spacing w:line="360" w:lineRule="atLeast"/>
      <w:jc w:val="both"/>
      <w:textAlignment w:val="baseline"/>
    </w:pPr>
    <w:rPr>
      <w:rFonts w:ascii="Times New Roman" w:hAnsi="Times New Roman" w:eastAsia="黑体" w:cs="Times New Roman"/>
      <w:sz w:val="28"/>
      <w:lang w:val="en-US" w:eastAsia="zh-CN" w:bidi="ar-SA"/>
    </w:rPr>
  </w:style>
  <w:style w:type="paragraph" w:customStyle="1" w:styleId="286">
    <w:name w:val="其他发布部门"/>
    <w:basedOn w:val="287"/>
    <w:qFormat/>
    <w:uiPriority w:val="0"/>
    <w:pPr>
      <w:spacing w:line="0" w:lineRule="atLeast"/>
    </w:pPr>
    <w:rPr>
      <w:rFonts w:ascii="黑体" w:eastAsia="黑体"/>
      <w:b w:val="0"/>
    </w:rPr>
  </w:style>
  <w:style w:type="paragraph" w:customStyle="1" w:styleId="287">
    <w:name w:val="发布部门"/>
    <w:next w:val="120"/>
    <w:qFormat/>
    <w:uiPriority w:val="0"/>
    <w:pPr>
      <w:widowControl w:val="0"/>
      <w:adjustRightInd w:val="0"/>
      <w:spacing w:line="360" w:lineRule="atLeast"/>
      <w:jc w:val="center"/>
      <w:textAlignment w:val="baseline"/>
    </w:pPr>
    <w:rPr>
      <w:rFonts w:ascii="宋体" w:hAnsi="Times New Roman" w:eastAsia="宋体" w:cs="Times New Roman"/>
      <w:b/>
      <w:spacing w:val="20"/>
      <w:w w:val="135"/>
      <w:sz w:val="36"/>
      <w:lang w:val="en-US" w:eastAsia="zh-CN" w:bidi="ar-SA"/>
    </w:rPr>
  </w:style>
  <w:style w:type="paragraph" w:customStyle="1" w:styleId="288">
    <w:name w:val="注×："/>
    <w:qFormat/>
    <w:uiPriority w:val="0"/>
    <w:pPr>
      <w:widowControl w:val="0"/>
      <w:tabs>
        <w:tab w:val="left" w:pos="630"/>
      </w:tabs>
      <w:autoSpaceDE w:val="0"/>
      <w:autoSpaceDN w:val="0"/>
      <w:adjustRightInd w:val="0"/>
      <w:spacing w:line="360" w:lineRule="atLeast"/>
      <w:ind w:left="900" w:hanging="500"/>
      <w:jc w:val="both"/>
      <w:textAlignment w:val="baseline"/>
    </w:pPr>
    <w:rPr>
      <w:rFonts w:ascii="宋体" w:hAnsi="Times New Roman" w:eastAsia="宋体" w:cs="Times New Roman"/>
      <w:sz w:val="18"/>
      <w:lang w:val="en-US" w:eastAsia="zh-CN" w:bidi="ar-SA"/>
    </w:rPr>
  </w:style>
  <w:style w:type="paragraph" w:customStyle="1" w:styleId="289">
    <w:name w:val="样式 标题 5 + 黑色 段前: 1.2 磅"/>
    <w:basedOn w:val="1"/>
    <w:qFormat/>
    <w:uiPriority w:val="0"/>
    <w:pPr>
      <w:tabs>
        <w:tab w:val="left" w:pos="1200"/>
      </w:tabs>
      <w:topLinePunct w:val="0"/>
      <w:adjustRightInd/>
      <w:spacing w:line="300" w:lineRule="auto"/>
    </w:pPr>
    <w:rPr>
      <w:rFonts w:ascii="Arial" w:hAnsi="Arial"/>
    </w:rPr>
  </w:style>
  <w:style w:type="paragraph" w:customStyle="1" w:styleId="290">
    <w:name w:val="样式 标题 5 + 段前: 0.15 行 段后: 0.15 行"/>
    <w:basedOn w:val="7"/>
    <w:qFormat/>
    <w:uiPriority w:val="0"/>
    <w:pPr>
      <w:tabs>
        <w:tab w:val="left" w:pos="1134"/>
      </w:tabs>
      <w:topLinePunct w:val="0"/>
      <w:adjustRightInd/>
      <w:snapToGrid w:val="0"/>
      <w:spacing w:before="36" w:beforeLines="0" w:beforeAutospacing="0" w:after="36" w:afterLines="0" w:afterAutospacing="0" w:line="240" w:lineRule="auto"/>
    </w:pPr>
    <w:rPr>
      <w:rFonts w:ascii="Arial" w:hAnsi="Arial" w:eastAsia="黑体"/>
      <w:b w:val="0"/>
      <w:sz w:val="21"/>
    </w:rPr>
  </w:style>
  <w:style w:type="paragraph" w:customStyle="1" w:styleId="291">
    <w:name w:val="样式 正文缩进正文缩进 Char正文（首行缩进两字） Char Char正文（首行缩进两字） Char1正文（首行缩进两...2"/>
    <w:basedOn w:val="1"/>
    <w:qFormat/>
    <w:uiPriority w:val="0"/>
    <w:pPr>
      <w:topLinePunct w:val="0"/>
      <w:adjustRightInd/>
      <w:spacing w:before="31" w:beforeLines="10" w:beforeAutospacing="0" w:line="300" w:lineRule="auto"/>
      <w:ind w:firstLine="200" w:firstLineChars="200"/>
    </w:pPr>
  </w:style>
  <w:style w:type="paragraph" w:customStyle="1" w:styleId="292">
    <w:name w:val="工程建设表标题"/>
    <w:basedOn w:val="200"/>
    <w:qFormat/>
    <w:uiPriority w:val="0"/>
    <w:pPr>
      <w:numPr>
        <w:ilvl w:val="4"/>
        <w:numId w:val="3"/>
      </w:numPr>
      <w:jc w:val="center"/>
      <w:outlineLvl w:val="4"/>
    </w:pPr>
  </w:style>
  <w:style w:type="paragraph" w:customStyle="1" w:styleId="293">
    <w:name w:val="样式 样式 目录 2 + 段前: 0.15 行 段后: 0.15 行4 + 左侧:  0.5 字符 右侧:  0.5 字符 ..."/>
    <w:basedOn w:val="1"/>
    <w:qFormat/>
    <w:uiPriority w:val="0"/>
    <w:pPr>
      <w:tabs>
        <w:tab w:val="left" w:pos="840"/>
        <w:tab w:val="left" w:pos="1050"/>
        <w:tab w:val="right" w:leader="dot" w:pos="9344"/>
      </w:tabs>
      <w:topLinePunct w:val="0"/>
      <w:adjustRightInd/>
      <w:snapToGrid w:val="0"/>
      <w:spacing w:before="46" w:beforeLines="15" w:beforeAutospacing="0" w:after="46" w:afterLines="15" w:afterAutospacing="0"/>
      <w:ind w:left="100" w:leftChars="100" w:rightChars="100"/>
      <w:jc w:val="left"/>
    </w:pPr>
    <w:rPr>
      <w:rFonts w:ascii="Arial" w:hAnsi="Arial"/>
      <w:smallCaps/>
      <w:kern w:val="0"/>
    </w:rPr>
  </w:style>
  <w:style w:type="paragraph" w:customStyle="1" w:styleId="294">
    <w:name w:val="样式 正文首行缩进 + Times New Roman 五号 首行缩进:  2 字符 段前: 0.1 行 行距: 多倍行..."/>
    <w:basedOn w:val="72"/>
    <w:qFormat/>
    <w:uiPriority w:val="0"/>
    <w:pPr>
      <w:tabs>
        <w:tab w:val="left" w:pos="360"/>
      </w:tabs>
      <w:spacing w:after="0" w:afterLines="0" w:afterAutospacing="0" w:line="276" w:lineRule="auto"/>
      <w:ind w:firstLine="0" w:firstLineChars="200"/>
    </w:pPr>
  </w:style>
  <w:style w:type="paragraph" w:customStyle="1" w:styleId="295">
    <w:name w:val="标准文件_二级无标题"/>
    <w:basedOn w:val="1"/>
    <w:qFormat/>
    <w:uiPriority w:val="0"/>
    <w:pPr>
      <w:topLinePunct w:val="0"/>
      <w:adjustRightInd/>
    </w:pPr>
    <w:rPr>
      <w:rFonts w:ascii="宋体"/>
      <w:kern w:val="0"/>
    </w:rPr>
  </w:style>
  <w:style w:type="paragraph" w:styleId="296">
    <w:name w:val="List Paragraph"/>
    <w:basedOn w:val="1"/>
    <w:qFormat/>
    <w:uiPriority w:val="0"/>
    <w:pPr>
      <w:topLinePunct w:val="0"/>
      <w:adjustRightInd/>
      <w:ind w:firstLine="420" w:firstLineChars="200"/>
    </w:pPr>
    <w:rPr>
      <w:rFonts w:ascii="Calibri" w:hAnsi="Calibri"/>
    </w:rPr>
  </w:style>
  <w:style w:type="paragraph" w:customStyle="1" w:styleId="297">
    <w:name w:val="封面标准名称"/>
    <w:qFormat/>
    <w:uiPriority w:val="0"/>
    <w:pPr>
      <w:widowControl w:val="0"/>
      <w:adjustRightInd w:val="0"/>
      <w:spacing w:line="680" w:lineRule="exact"/>
      <w:jc w:val="center"/>
      <w:textAlignment w:val="center"/>
    </w:pPr>
    <w:rPr>
      <w:rFonts w:ascii="黑体" w:hAnsi="Times New Roman" w:eastAsia="黑体" w:cs="Times New Roman"/>
      <w:sz w:val="52"/>
      <w:lang w:val="en-US" w:eastAsia="zh-CN" w:bidi="ar-SA"/>
    </w:rPr>
  </w:style>
  <w:style w:type="paragraph" w:customStyle="1" w:styleId="298">
    <w:name w:val="样式 样式 目录 1toc1 + + 左侧:  1 字符 右侧:  1 字符 段前: 0.15 行 段后: 0.15 行"/>
    <w:basedOn w:val="299"/>
    <w:qFormat/>
    <w:uiPriority w:val="0"/>
    <w:pPr>
      <w:tabs>
        <w:tab w:val="left" w:pos="420"/>
        <w:tab w:val="right" w:leader="dot" w:pos="9345"/>
      </w:tabs>
    </w:pPr>
  </w:style>
  <w:style w:type="paragraph" w:customStyle="1" w:styleId="299">
    <w:name w:val="样式 目录 1toc1 +"/>
    <w:basedOn w:val="52"/>
    <w:qFormat/>
    <w:uiPriority w:val="0"/>
    <w:pPr>
      <w:tabs>
        <w:tab w:val="left" w:pos="420"/>
        <w:tab w:val="right" w:leader="dot" w:pos="9345"/>
      </w:tabs>
      <w:adjustRightInd/>
      <w:snapToGrid w:val="0"/>
      <w:spacing w:before="15" w:beforeLines="0" w:beforeAutospacing="0" w:after="15" w:afterLines="0" w:afterAutospacing="0" w:line="240" w:lineRule="auto"/>
      <w:ind w:left="100" w:leftChars="100" w:rightChars="100"/>
      <w:textAlignment w:val="auto"/>
    </w:pPr>
    <w:rPr>
      <w:rFonts w:ascii="Arial" w:hAnsi="Arial"/>
      <w:b w:val="0"/>
    </w:rPr>
  </w:style>
  <w:style w:type="paragraph" w:customStyle="1" w:styleId="300">
    <w:name w:val="_列项接续1"/>
    <w:basedOn w:val="38"/>
    <w:qFormat/>
    <w:uiPriority w:val="0"/>
    <w:pPr>
      <w:spacing w:after="0" w:afterLines="0" w:afterAutospacing="0" w:line="276" w:lineRule="auto"/>
      <w:ind w:left="400" w:leftChars="400"/>
    </w:pPr>
    <w:rPr>
      <w:color w:val="000000"/>
    </w:rPr>
  </w:style>
  <w:style w:type="paragraph" w:customStyle="1" w:styleId="301">
    <w:name w:val=" Char Char Char Char Char Char Char Char Char Char Char Char1"/>
    <w:basedOn w:val="1"/>
    <w:qFormat/>
    <w:uiPriority w:val="0"/>
    <w:pPr>
      <w:topLinePunct w:val="0"/>
      <w:adjustRightInd/>
    </w:pPr>
    <w:rPr>
      <w:rFonts w:ascii="Tahoma" w:hAnsi="Tahoma"/>
      <w:sz w:val="24"/>
    </w:rPr>
  </w:style>
  <w:style w:type="paragraph" w:customStyle="1" w:styleId="302">
    <w:name w:val="样式 样式 首行缩进:  0.77 厘米 段前: 0.1 行 + 首行缩进:  2 字符 段前: 0.1 行1"/>
    <w:basedOn w:val="1"/>
    <w:qFormat/>
    <w:uiPriority w:val="0"/>
    <w:pPr>
      <w:topLinePunct w:val="0"/>
      <w:adjustRightInd/>
      <w:spacing w:before="31" w:beforeLines="10" w:beforeAutospacing="0" w:line="300" w:lineRule="auto"/>
      <w:ind w:firstLine="420" w:firstLineChars="200"/>
    </w:pPr>
    <w:rPr>
      <w:rFonts w:ascii="宋体"/>
    </w:rPr>
  </w:style>
  <w:style w:type="paragraph" w:customStyle="1" w:styleId="303">
    <w:name w:val="标准书脚_偶数页"/>
    <w:qFormat/>
    <w:uiPriority w:val="0"/>
    <w:pPr>
      <w:widowControl w:val="0"/>
      <w:adjustRightInd w:val="0"/>
      <w:spacing w:before="120" w:line="360" w:lineRule="atLeast"/>
      <w:jc w:val="both"/>
      <w:textAlignment w:val="baseline"/>
    </w:pPr>
    <w:rPr>
      <w:rFonts w:ascii="Times New Roman" w:hAnsi="Times New Roman" w:eastAsia="宋体" w:cs="Times New Roman"/>
      <w:sz w:val="18"/>
      <w:lang w:val="en-US" w:eastAsia="zh-CN" w:bidi="ar-SA"/>
    </w:rPr>
  </w:style>
  <w:style w:type="paragraph" w:customStyle="1" w:styleId="304">
    <w:name w:val="部分副题目"/>
    <w:basedOn w:val="1"/>
    <w:next w:val="34"/>
    <w:qFormat/>
    <w:uiPriority w:val="0"/>
    <w:pPr>
      <w:keepNext/>
      <w:keepLines/>
      <w:widowControl/>
      <w:topLinePunct w:val="0"/>
      <w:adjustRightInd/>
      <w:spacing w:after="160" w:afterLines="0" w:afterAutospacing="0" w:line="400" w:lineRule="atLeast"/>
      <w:ind w:right="2160"/>
      <w:jc w:val="left"/>
    </w:pPr>
    <w:rPr>
      <w:rFonts w:ascii="Arial" w:hAnsi="Arial"/>
      <w:i/>
      <w:spacing w:val="-14"/>
      <w:kern w:val="28"/>
      <w:sz w:val="34"/>
    </w:rPr>
  </w:style>
  <w:style w:type="paragraph" w:customStyle="1" w:styleId="305">
    <w:name w:val="文献分类号"/>
    <w:qFormat/>
    <w:uiPriority w:val="0"/>
    <w:pPr>
      <w:widowControl w:val="0"/>
      <w:adjustRightInd w:val="0"/>
      <w:spacing w:line="360" w:lineRule="atLeast"/>
      <w:jc w:val="both"/>
      <w:textAlignment w:val="center"/>
    </w:pPr>
    <w:rPr>
      <w:rFonts w:ascii="Times New Roman" w:hAnsi="Times New Roman" w:eastAsia="黑体" w:cs="Times New Roman"/>
      <w:sz w:val="21"/>
      <w:lang w:val="en-US" w:eastAsia="zh-CN" w:bidi="ar-SA"/>
    </w:rPr>
  </w:style>
  <w:style w:type="paragraph" w:customStyle="1" w:styleId="306">
    <w:name w:val="样式 样式 段前: 0.1 行 首行缩进:  2 字符 + 首行缩进:  2 字符 段前: 0.1 行1"/>
    <w:basedOn w:val="307"/>
    <w:qFormat/>
    <w:uiPriority w:val="0"/>
    <w:pPr>
      <w:spacing w:before="24" w:beforeLines="0" w:beforeAutospacing="0" w:line="276" w:lineRule="auto"/>
      <w:ind w:firstLine="420"/>
    </w:pPr>
  </w:style>
  <w:style w:type="paragraph" w:customStyle="1" w:styleId="307">
    <w:name w:val="样式 段前: 0.1 行 首行缩进:  2 字符"/>
    <w:basedOn w:val="1"/>
    <w:qFormat/>
    <w:uiPriority w:val="0"/>
    <w:pPr>
      <w:topLinePunct w:val="0"/>
      <w:adjustRightInd/>
      <w:spacing w:before="31" w:beforeLines="10" w:beforeAutospacing="0" w:line="300" w:lineRule="auto"/>
      <w:ind w:firstLine="200" w:firstLineChars="200"/>
    </w:pPr>
  </w:style>
  <w:style w:type="paragraph" w:customStyle="1" w:styleId="308">
    <w:name w:val="三级无标题条"/>
    <w:basedOn w:val="1"/>
    <w:qFormat/>
    <w:uiPriority w:val="0"/>
    <w:pPr>
      <w:numPr>
        <w:ilvl w:val="4"/>
        <w:numId w:val="6"/>
      </w:numPr>
      <w:topLinePunct w:val="0"/>
      <w:adjustRightInd/>
    </w:pPr>
    <w:rPr>
      <w:b/>
    </w:rPr>
  </w:style>
  <w:style w:type="paragraph" w:customStyle="1" w:styleId="309">
    <w:name w:val="附录图标题"/>
    <w:next w:val="120"/>
    <w:qFormat/>
    <w:uiPriority w:val="0"/>
    <w:pPr>
      <w:widowControl w:val="0"/>
      <w:tabs>
        <w:tab w:val="left" w:pos="360"/>
      </w:tabs>
      <w:adjustRightInd w:val="0"/>
      <w:spacing w:line="360" w:lineRule="atLeast"/>
      <w:jc w:val="center"/>
      <w:textAlignment w:val="baseline"/>
    </w:pPr>
    <w:rPr>
      <w:rFonts w:ascii="黑体" w:hAnsi="Times New Roman" w:eastAsia="黑体" w:cs="Times New Roman"/>
      <w:sz w:val="21"/>
      <w:lang w:val="en-US" w:eastAsia="zh-CN" w:bidi="ar-SA"/>
    </w:rPr>
  </w:style>
  <w:style w:type="paragraph" w:customStyle="1" w:styleId="310">
    <w:name w:val="样式 样式1 正文（首行缩进两字） Char + 黑色 首行缩进:  2 字符 段前: 0 行 行距: 多倍行距 1.15 ....."/>
    <w:basedOn w:val="242"/>
    <w:qFormat/>
    <w:uiPriority w:val="0"/>
    <w:pPr>
      <w:spacing w:before="156" w:beforeLines="50" w:beforeAutospacing="0"/>
    </w:pPr>
  </w:style>
  <w:style w:type="paragraph" w:customStyle="1" w:styleId="311">
    <w:name w:val="偶页脚样式"/>
    <w:basedOn w:val="50"/>
    <w:qFormat/>
    <w:uiPriority w:val="0"/>
    <w:pPr>
      <w:keepLines/>
      <w:widowControl/>
      <w:pBdr>
        <w:bottom w:val="single" w:color="auto" w:sz="6" w:space="1"/>
      </w:pBdr>
      <w:tabs>
        <w:tab w:val="center" w:pos="-18551"/>
        <w:tab w:val="right" w:pos="4320"/>
        <w:tab w:val="clear" w:pos="4153"/>
        <w:tab w:val="clear" w:pos="8306"/>
      </w:tabs>
      <w:topLinePunct w:val="0"/>
      <w:adjustRightInd/>
      <w:snapToGrid/>
      <w:spacing w:before="600" w:beforeLines="0" w:beforeAutospacing="0" w:line="300" w:lineRule="auto"/>
      <w:ind w:rightChars="0"/>
      <w:jc w:val="left"/>
    </w:pPr>
    <w:rPr>
      <w:rFonts w:ascii="Arial" w:hAnsi="Arial"/>
      <w:b/>
      <w:spacing w:val="-4"/>
      <w:kern w:val="0"/>
      <w:sz w:val="21"/>
    </w:rPr>
  </w:style>
  <w:style w:type="paragraph" w:customStyle="1" w:styleId="312">
    <w:name w:val="标准书眉_偶数页"/>
    <w:basedOn w:val="237"/>
    <w:next w:val="1"/>
    <w:qFormat/>
    <w:uiPriority w:val="0"/>
    <w:pPr>
      <w:jc w:val="left"/>
    </w:pPr>
  </w:style>
  <w:style w:type="paragraph" w:customStyle="1" w:styleId="313">
    <w:name w:val="样式 样式 段前: 0.1 行 + 段前: 0.1 行 + 左侧:  2 字符 段前: 0.1 行1"/>
    <w:basedOn w:val="314"/>
    <w:qFormat/>
    <w:uiPriority w:val="0"/>
    <w:pPr>
      <w:spacing w:line="276" w:lineRule="auto"/>
    </w:pPr>
  </w:style>
  <w:style w:type="paragraph" w:customStyle="1" w:styleId="314">
    <w:name w:val="样式 样式 段前: 0.1 行 + 段前: 0.1 行"/>
    <w:basedOn w:val="315"/>
    <w:qFormat/>
    <w:uiPriority w:val="0"/>
    <w:pPr>
      <w:ind w:left="200" w:leftChars="200"/>
    </w:pPr>
  </w:style>
  <w:style w:type="paragraph" w:customStyle="1" w:styleId="315">
    <w:name w:val="样式 段前: 0.1 行"/>
    <w:basedOn w:val="1"/>
    <w:qFormat/>
    <w:uiPriority w:val="0"/>
    <w:pPr>
      <w:topLinePunct w:val="0"/>
      <w:adjustRightInd/>
      <w:spacing w:before="31" w:beforeLines="10" w:beforeAutospacing="0" w:line="300" w:lineRule="auto"/>
    </w:pPr>
  </w:style>
  <w:style w:type="paragraph" w:customStyle="1" w:styleId="316">
    <w:name w:val=" Char Char Char Char Char Char Char Char Char Char Char Char Char"/>
    <w:basedOn w:val="1"/>
    <w:qFormat/>
    <w:uiPriority w:val="0"/>
    <w:pPr>
      <w:topLinePunct w:val="0"/>
      <w:adjustRightInd/>
    </w:pPr>
    <w:rPr>
      <w:rFonts w:ascii="Tahoma" w:hAnsi="Tahoma"/>
      <w:sz w:val="24"/>
    </w:rPr>
  </w:style>
  <w:style w:type="paragraph" w:customStyle="1" w:styleId="317">
    <w:name w:val="二级"/>
    <w:basedOn w:val="194"/>
    <w:qFormat/>
    <w:uiPriority w:val="0"/>
    <w:pPr>
      <w:numPr>
        <w:ilvl w:val="0"/>
        <w:numId w:val="12"/>
      </w:numPr>
      <w:outlineLvl w:val="1"/>
    </w:pPr>
    <w:rPr>
      <w:rFonts w:ascii="Times New Roman" w:hAnsi="Times New Roman" w:eastAsia="宋体"/>
    </w:rPr>
  </w:style>
  <w:style w:type="paragraph" w:customStyle="1" w:styleId="318">
    <w:name w:val="CM64"/>
    <w:basedOn w:val="197"/>
    <w:next w:val="197"/>
    <w:qFormat/>
    <w:uiPriority w:val="0"/>
    <w:rPr>
      <w:rFonts w:ascii="Times New Roman"/>
      <w:color w:val="auto"/>
    </w:rPr>
  </w:style>
  <w:style w:type="paragraph" w:customStyle="1" w:styleId="319">
    <w:name w:val="_Style 318"/>
    <w:basedOn w:val="4"/>
    <w:next w:val="1"/>
    <w:qFormat/>
    <w:uiPriority w:val="0"/>
    <w:pPr>
      <w:widowControl/>
      <w:topLinePunct w:val="0"/>
      <w:adjustRightInd/>
      <w:spacing w:before="480" w:beforeLines="0" w:beforeAutospacing="0" w:after="0" w:afterLines="0" w:afterAutospacing="0" w:line="276" w:lineRule="auto"/>
      <w:jc w:val="left"/>
      <w:outlineLvl w:val="9"/>
    </w:pPr>
    <w:rPr>
      <w:rFonts w:ascii="Cambria" w:hAnsi="Cambria"/>
      <w:color w:val="365F91"/>
      <w:kern w:val="0"/>
      <w:sz w:val="28"/>
    </w:rPr>
  </w:style>
  <w:style w:type="paragraph" w:customStyle="1" w:styleId="320">
    <w:name w:val="样式 左侧:  0.77 厘米 段前: 0 行 行距: 多倍行距 1.15 字行"/>
    <w:basedOn w:val="1"/>
    <w:qFormat/>
    <w:uiPriority w:val="0"/>
    <w:pPr>
      <w:topLinePunct w:val="0"/>
      <w:adjustRightInd/>
      <w:spacing w:line="276" w:lineRule="auto"/>
      <w:ind w:left="420"/>
    </w:pPr>
    <w:rPr>
      <w:rFonts w:ascii="宋体"/>
    </w:rPr>
  </w:style>
  <w:style w:type="paragraph" w:customStyle="1" w:styleId="321">
    <w:name w:val="CM56"/>
    <w:basedOn w:val="197"/>
    <w:next w:val="197"/>
    <w:qFormat/>
    <w:uiPriority w:val="0"/>
    <w:rPr>
      <w:rFonts w:ascii="Times New Roman"/>
      <w:color w:val="auto"/>
    </w:rPr>
  </w:style>
  <w:style w:type="paragraph" w:customStyle="1" w:styleId="322">
    <w:name w:val="样式 样式 样式 段前: 0.1 行 + 段前: 0.1 行 + 左侧:  2 字符 段前: 0.1 行"/>
    <w:basedOn w:val="314"/>
    <w:qFormat/>
    <w:uiPriority w:val="0"/>
    <w:pPr>
      <w:spacing w:before="24" w:beforeLines="0" w:beforeAutospacing="0" w:line="276" w:lineRule="auto"/>
      <w:ind w:left="420"/>
    </w:pPr>
  </w:style>
  <w:style w:type="paragraph" w:customStyle="1" w:styleId="323">
    <w:name w:val="样式 标题 5 + 段前: 0.1 行1"/>
    <w:basedOn w:val="7"/>
    <w:next w:val="7"/>
    <w:qFormat/>
    <w:uiPriority w:val="0"/>
    <w:pPr>
      <w:keepNext w:val="0"/>
      <w:keepLines w:val="0"/>
      <w:tabs>
        <w:tab w:val="left" w:pos="0"/>
        <w:tab w:val="left" w:pos="210"/>
      </w:tabs>
      <w:topLinePunct w:val="0"/>
      <w:adjustRightInd/>
      <w:spacing w:before="31" w:beforeLines="10" w:beforeAutospacing="0" w:after="0" w:afterLines="0" w:afterAutospacing="0" w:line="312" w:lineRule="auto"/>
    </w:pPr>
    <w:rPr>
      <w:sz w:val="21"/>
    </w:rPr>
  </w:style>
  <w:style w:type="paragraph" w:customStyle="1" w:styleId="324">
    <w:name w:val="首页页眉样式"/>
    <w:basedOn w:val="51"/>
    <w:qFormat/>
    <w:uiPriority w:val="0"/>
    <w:pPr>
      <w:keepLines/>
      <w:widowControl/>
      <w:pBdr>
        <w:bottom w:val="none" w:color="auto" w:sz="0" w:space="0"/>
      </w:pBdr>
      <w:tabs>
        <w:tab w:val="center" w:pos="-18551"/>
        <w:tab w:val="right" w:pos="4320"/>
        <w:tab w:val="clear" w:pos="4153"/>
        <w:tab w:val="clear" w:pos="8306"/>
      </w:tabs>
      <w:topLinePunct w:val="0"/>
      <w:adjustRightInd/>
      <w:spacing w:line="240" w:lineRule="atLeast"/>
      <w:jc w:val="left"/>
    </w:pPr>
    <w:rPr>
      <w:rFonts w:ascii="Arial" w:hAnsi="Arial" w:eastAsia="黑体"/>
      <w:spacing w:val="-4"/>
      <w:kern w:val="0"/>
      <w:sz w:val="21"/>
    </w:rPr>
  </w:style>
  <w:style w:type="paragraph" w:customStyle="1" w:styleId="325">
    <w:name w:val="样式 题目封页 + (西文) 华文中宋 (中文) 华文中宋 32 磅 黑色 两端对齐 段前: 3 磅 段后: 3 磅..."/>
    <w:basedOn w:val="239"/>
    <w:qFormat/>
    <w:uiPriority w:val="0"/>
    <w:pPr>
      <w:spacing w:before="60" w:beforeLines="0" w:beforeAutospacing="0" w:after="60" w:afterLines="0" w:afterAutospacing="0" w:line="300" w:lineRule="auto"/>
      <w:jc w:val="both"/>
    </w:pPr>
    <w:rPr>
      <w:rFonts w:ascii="华文中宋" w:hAnsi="华文中宋" w:eastAsia="华文中宋"/>
      <w:color w:val="000000"/>
      <w:spacing w:val="24"/>
      <w:kern w:val="2"/>
      <w:sz w:val="60"/>
    </w:rPr>
  </w:style>
  <w:style w:type="paragraph" w:customStyle="1" w:styleId="326">
    <w:name w:val="_术语说明"/>
    <w:basedOn w:val="327"/>
    <w:qFormat/>
    <w:uiPriority w:val="0"/>
    <w:pPr>
      <w:spacing w:before="0" w:beforeLines="0" w:beforeAutospacing="0" w:line="276" w:lineRule="auto"/>
    </w:pPr>
    <w:rPr>
      <w:color w:val="000000"/>
    </w:rPr>
  </w:style>
  <w:style w:type="paragraph" w:customStyle="1" w:styleId="327">
    <w:name w:val="正文（首行缩进两字） Char"/>
    <w:basedOn w:val="1"/>
    <w:next w:val="1"/>
    <w:qFormat/>
    <w:uiPriority w:val="0"/>
    <w:pPr>
      <w:overflowPunct w:val="0"/>
      <w:topLinePunct w:val="0"/>
      <w:adjustRightInd/>
      <w:snapToGrid w:val="0"/>
      <w:spacing w:before="31" w:beforeLines="10" w:beforeAutospacing="0" w:line="312" w:lineRule="auto"/>
      <w:ind w:firstLine="200" w:firstLineChars="200"/>
    </w:pPr>
    <w:rPr>
      <w:rFonts w:ascii="Arial" w:hAnsi="Arial"/>
    </w:rPr>
  </w:style>
  <w:style w:type="paragraph" w:customStyle="1" w:styleId="328">
    <w:name w:val="_术语条目"/>
    <w:basedOn w:val="327"/>
    <w:next w:val="326"/>
    <w:qFormat/>
    <w:uiPriority w:val="0"/>
    <w:pPr>
      <w:spacing w:before="0" w:beforeLines="0" w:beforeAutospacing="0" w:line="276" w:lineRule="auto"/>
      <w:jc w:val="left"/>
    </w:pPr>
    <w:rPr>
      <w:rFonts w:eastAsia="黑体"/>
      <w:color w:val="000000"/>
    </w:rPr>
  </w:style>
  <w:style w:type="paragraph" w:customStyle="1" w:styleId="329">
    <w:name w:val="1.1.1.1"/>
    <w:basedOn w:val="57"/>
    <w:next w:val="1"/>
    <w:qFormat/>
    <w:uiPriority w:val="0"/>
    <w:pPr>
      <w:tabs>
        <w:tab w:val="left" w:pos="0"/>
      </w:tabs>
      <w:topLinePunct w:val="0"/>
      <w:adjustRightInd/>
      <w:spacing w:line="360" w:lineRule="auto"/>
    </w:pPr>
    <w:rPr>
      <w:rFonts w:ascii="宋体" w:hAnsi="宋体"/>
      <w:kern w:val="0"/>
      <w:sz w:val="24"/>
    </w:rPr>
  </w:style>
  <w:style w:type="paragraph" w:customStyle="1" w:styleId="330">
    <w:name w:val="样式 样式 标题 1 + 小四 段前: 0 磅 段后: 0 磅 行距: 1.5 倍行距 + 宋体"/>
    <w:basedOn w:val="4"/>
    <w:qFormat/>
    <w:uiPriority w:val="0"/>
    <w:pPr>
      <w:tabs>
        <w:tab w:val="left" w:pos="425"/>
      </w:tabs>
      <w:topLinePunct w:val="0"/>
      <w:adjustRightInd/>
      <w:ind w:left="425" w:hanging="425"/>
    </w:pPr>
    <w:rPr>
      <w:rFonts w:ascii="宋体" w:hAnsi="宋体"/>
    </w:rPr>
  </w:style>
  <w:style w:type="paragraph" w:customStyle="1" w:styleId="331">
    <w:name w:val="注："/>
    <w:next w:val="120"/>
    <w:qFormat/>
    <w:uiPriority w:val="0"/>
    <w:pPr>
      <w:widowControl w:val="0"/>
      <w:autoSpaceDE w:val="0"/>
      <w:autoSpaceDN w:val="0"/>
      <w:adjustRightInd w:val="0"/>
      <w:spacing w:line="360" w:lineRule="atLeast"/>
      <w:ind w:left="840" w:hanging="420"/>
      <w:jc w:val="both"/>
      <w:textAlignment w:val="baseline"/>
    </w:pPr>
    <w:rPr>
      <w:rFonts w:ascii="宋体" w:hAnsi="Times New Roman" w:eastAsia="宋体" w:cs="Times New Roman"/>
      <w:sz w:val="18"/>
      <w:lang w:val="en-US" w:eastAsia="zh-CN" w:bidi="ar-SA"/>
    </w:rPr>
  </w:style>
  <w:style w:type="paragraph" w:customStyle="1" w:styleId="332">
    <w:name w:val="条文脚注"/>
    <w:basedOn w:val="58"/>
    <w:qFormat/>
    <w:uiPriority w:val="0"/>
    <w:pPr>
      <w:ind w:left="780" w:leftChars="200" w:hanging="360" w:hangingChars="200"/>
      <w:jc w:val="both"/>
    </w:pPr>
    <w:rPr>
      <w:rFonts w:ascii="宋体"/>
    </w:rPr>
  </w:style>
  <w:style w:type="paragraph" w:customStyle="1" w:styleId="333">
    <w:name w:val="样式 标题 4 + Arial 段前: 0.1 行"/>
    <w:basedOn w:val="1"/>
    <w:qFormat/>
    <w:uiPriority w:val="0"/>
    <w:pPr>
      <w:tabs>
        <w:tab w:val="left" w:pos="357"/>
        <w:tab w:val="left" w:pos="900"/>
      </w:tabs>
      <w:topLinePunct w:val="0"/>
      <w:adjustRightInd/>
      <w:spacing w:before="31" w:beforeLines="10" w:beforeAutospacing="0" w:line="312" w:lineRule="auto"/>
    </w:pPr>
  </w:style>
  <w:style w:type="paragraph" w:customStyle="1" w:styleId="334">
    <w:name w:val="样式1 加粗 居中 首行缩进:  0.74 厘米 段前: 0.1 行"/>
    <w:basedOn w:val="1"/>
    <w:qFormat/>
    <w:uiPriority w:val="0"/>
    <w:pPr>
      <w:topLinePunct w:val="0"/>
      <w:adjustRightInd/>
      <w:spacing w:line="276" w:lineRule="auto"/>
      <w:ind w:firstLine="420"/>
      <w:jc w:val="center"/>
    </w:pPr>
    <w:rPr>
      <w:b/>
    </w:rPr>
  </w:style>
  <w:style w:type="paragraph" w:customStyle="1" w:styleId="335">
    <w:name w:val="样式 样式1 样式 编号 a + Times New Roman 段前: 0 行 行距: 多倍行距 1.15 字行 + 左侧....."/>
    <w:basedOn w:val="229"/>
    <w:qFormat/>
    <w:uiPriority w:val="0"/>
    <w:pPr>
      <w:ind w:left="840" w:leftChars="200" w:hanging="420"/>
    </w:pPr>
  </w:style>
  <w:style w:type="paragraph" w:customStyle="1" w:styleId="336">
    <w:name w:val="样式 样式 正文缩进正文缩进 Char正文（首行缩进两字） Char Char正文（首行缩进两字） Char1正文（首行缩进两....1"/>
    <w:basedOn w:val="109"/>
    <w:qFormat/>
    <w:uiPriority w:val="0"/>
    <w:pPr>
      <w:spacing w:before="0" w:beforeLines="0" w:beforeAutospacing="0" w:line="276" w:lineRule="auto"/>
      <w:ind w:firstLine="420"/>
    </w:pPr>
  </w:style>
  <w:style w:type="paragraph" w:customStyle="1" w:styleId="337">
    <w:name w:val="样式 标题 1 + 段前: 0.7 行 段后: 0.7 行 + 段前: 0.7 行 段后: 0.7 行"/>
    <w:qFormat/>
    <w:uiPriority w:val="0"/>
    <w:pPr>
      <w:tabs>
        <w:tab w:val="left" w:pos="400"/>
      </w:tabs>
      <w:spacing w:before="312" w:beforeLines="100" w:after="312" w:afterLines="100"/>
    </w:pPr>
    <w:rPr>
      <w:rFonts w:ascii="Times New Roman" w:hAnsi="Times New Roman" w:eastAsia="宋体" w:cs="Times New Roman"/>
      <w:b/>
      <w:kern w:val="21"/>
      <w:sz w:val="21"/>
      <w:lang w:val="en-US" w:eastAsia="zh-CN" w:bidi="ar-SA"/>
    </w:rPr>
  </w:style>
  <w:style w:type="paragraph" w:customStyle="1" w:styleId="338">
    <w:name w:val="Char Char Char Char Char Char"/>
    <w:basedOn w:val="1"/>
    <w:qFormat/>
    <w:uiPriority w:val="0"/>
    <w:pPr>
      <w:topLinePunct w:val="0"/>
      <w:adjustRightInd/>
    </w:pPr>
  </w:style>
  <w:style w:type="paragraph" w:customStyle="1" w:styleId="339">
    <w:name w:val="正文正式1"/>
    <w:basedOn w:val="1"/>
    <w:qFormat/>
    <w:uiPriority w:val="0"/>
    <w:pPr>
      <w:tabs>
        <w:tab w:val="left" w:pos="0"/>
      </w:tabs>
      <w:topLinePunct w:val="0"/>
      <w:adjustRightInd/>
      <w:spacing w:line="360" w:lineRule="auto"/>
    </w:pPr>
    <w:rPr>
      <w:rFonts w:ascii="宋体" w:hAnsi="宋体"/>
      <w:kern w:val="0"/>
      <w:sz w:val="24"/>
    </w:rPr>
  </w:style>
  <w:style w:type="paragraph" w:customStyle="1" w:styleId="340">
    <w:name w:val="样式 样式 列表编号 2 + Times New Roman 段前: 0.1 行 行距: 多倍行距 1.2 字行 + 左侧:  ..."/>
    <w:basedOn w:val="1"/>
    <w:qFormat/>
    <w:uiPriority w:val="0"/>
    <w:pPr>
      <w:keepNext/>
      <w:keepLines/>
      <w:widowControl/>
      <w:topLinePunct w:val="0"/>
      <w:adjustRightInd/>
      <w:spacing w:line="276" w:lineRule="auto"/>
    </w:pPr>
    <w:rPr>
      <w:kern w:val="0"/>
    </w:rPr>
  </w:style>
  <w:style w:type="paragraph" w:customStyle="1" w:styleId="341">
    <w:name w:val="图片a"/>
    <w:basedOn w:val="1"/>
    <w:qFormat/>
    <w:uiPriority w:val="0"/>
    <w:pPr>
      <w:snapToGrid w:val="0"/>
      <w:spacing w:before="160" w:beforeLines="0" w:beforeAutospacing="0" w:after="60" w:afterLines="0" w:afterAutospacing="0"/>
      <w:jc w:val="center"/>
    </w:pPr>
  </w:style>
  <w:style w:type="paragraph" w:customStyle="1" w:styleId="342">
    <w:name w:val="样式 正文文本 2 + 段前: 0.1 行 + Times New Roman 悬挂缩进: 0.13 字符 段前: 0..."/>
    <w:basedOn w:val="279"/>
    <w:qFormat/>
    <w:uiPriority w:val="0"/>
    <w:pPr>
      <w:spacing w:before="10" w:beforeLines="0" w:beforeAutospacing="0" w:after="31" w:afterLines="10" w:afterAutospacing="0" w:line="240" w:lineRule="auto"/>
      <w:ind w:left="2" w:leftChars="-11" w:hanging="13" w:hangingChars="13"/>
    </w:pPr>
  </w:style>
  <w:style w:type="paragraph" w:customStyle="1" w:styleId="343">
    <w:name w:val="标准标志HB"/>
    <w:next w:val="1"/>
    <w:qFormat/>
    <w:uiPriority w:val="0"/>
    <w:pPr>
      <w:shd w:val="solid" w:color="FFFFFF" w:fill="FFFFFF"/>
      <w:spacing w:line="0" w:lineRule="atLeast"/>
      <w:jc w:val="right"/>
    </w:pPr>
    <w:rPr>
      <w:rFonts w:ascii="Britannic Bold" w:hAnsi="Britannic Bold" w:eastAsia="Britannic Bold" w:cs="Times New Roman"/>
      <w:b/>
      <w:w w:val="110"/>
      <w:kern w:val="2"/>
      <w:sz w:val="160"/>
      <w:lang w:val="en-US" w:eastAsia="zh-CN" w:bidi="ar-SA"/>
    </w:rPr>
  </w:style>
  <w:style w:type="paragraph" w:customStyle="1" w:styleId="344">
    <w:name w:val="式中"/>
    <w:next w:val="120"/>
    <w:qFormat/>
    <w:uiPriority w:val="0"/>
    <w:pPr>
      <w:numPr>
        <w:ilvl w:val="0"/>
        <w:numId w:val="13"/>
      </w:numPr>
      <w:tabs>
        <w:tab w:val="left" w:pos="210"/>
        <w:tab w:val="clear" w:pos="918"/>
      </w:tabs>
    </w:pPr>
    <w:rPr>
      <w:rFonts w:ascii="宋体" w:hAnsi="Times New Roman" w:eastAsia="宋体" w:cs="Times New Roman"/>
      <w:sz w:val="18"/>
      <w:lang w:val="en-US" w:eastAsia="zh-CN" w:bidi="ar-SA"/>
    </w:rPr>
  </w:style>
  <w:style w:type="paragraph" w:customStyle="1" w:styleId="345">
    <w:name w:val="样式 样式 标题 1 + 小四 段前: 0 磅 段后: 0 磅 行距: 1.5 倍行距 + 宋体2"/>
    <w:basedOn w:val="4"/>
    <w:qFormat/>
    <w:uiPriority w:val="0"/>
    <w:pPr>
      <w:numPr>
        <w:ilvl w:val="0"/>
        <w:numId w:val="8"/>
      </w:numPr>
      <w:tabs>
        <w:tab w:val="left" w:pos="425"/>
      </w:tabs>
      <w:topLinePunct w:val="0"/>
      <w:adjustRightInd/>
    </w:pPr>
    <w:rPr>
      <w:rFonts w:ascii="宋体" w:hAnsi="宋体"/>
    </w:rPr>
  </w:style>
  <w:style w:type="paragraph" w:customStyle="1" w:styleId="346">
    <w:name w:val="样式1 样式 标题 3 + 段前: 0.1 行 + 段前: 0.1 行"/>
    <w:basedOn w:val="1"/>
    <w:qFormat/>
    <w:uiPriority w:val="0"/>
    <w:pPr>
      <w:tabs>
        <w:tab w:val="left" w:pos="210"/>
        <w:tab w:val="left" w:pos="630"/>
        <w:tab w:val="left" w:pos="720"/>
      </w:tabs>
      <w:topLinePunct w:val="0"/>
      <w:adjustRightInd/>
      <w:spacing w:line="276" w:lineRule="auto"/>
      <w:outlineLvl w:val="2"/>
    </w:pPr>
    <w:rPr>
      <w:b/>
    </w:rPr>
  </w:style>
  <w:style w:type="paragraph" w:customStyle="1" w:styleId="347">
    <w:name w:val="列项●（二级）"/>
    <w:qFormat/>
    <w:uiPriority w:val="0"/>
    <w:pPr>
      <w:widowControl w:val="0"/>
      <w:numPr>
        <w:ilvl w:val="0"/>
        <w:numId w:val="14"/>
      </w:numPr>
      <w:tabs>
        <w:tab w:val="left" w:pos="840"/>
        <w:tab w:val="clear" w:pos="760"/>
      </w:tabs>
      <w:adjustRightInd w:val="0"/>
      <w:spacing w:line="360" w:lineRule="atLeast"/>
      <w:ind w:left="600" w:leftChars="400" w:hanging="200" w:hangingChars="200"/>
      <w:jc w:val="both"/>
      <w:textAlignment w:val="baseline"/>
    </w:pPr>
    <w:rPr>
      <w:rFonts w:ascii="宋体" w:hAnsi="Times New Roman" w:eastAsia="宋体" w:cs="Times New Roman"/>
      <w:sz w:val="21"/>
      <w:lang w:val="en-US" w:eastAsia="zh-CN" w:bidi="ar-SA"/>
    </w:rPr>
  </w:style>
  <w:style w:type="paragraph" w:customStyle="1" w:styleId="348">
    <w:name w:val="封面标准代替信息"/>
    <w:basedOn w:val="254"/>
    <w:qFormat/>
    <w:uiPriority w:val="0"/>
    <w:pPr>
      <w:spacing w:before="57" w:beforeLines="0" w:beforeAutospacing="0"/>
    </w:pPr>
    <w:rPr>
      <w:rFonts w:ascii="宋体"/>
      <w:sz w:val="21"/>
    </w:rPr>
  </w:style>
  <w:style w:type="paragraph" w:customStyle="1" w:styleId="349">
    <w:name w:val="术语定义三级条标题"/>
    <w:basedOn w:val="215"/>
    <w:next w:val="120"/>
    <w:qFormat/>
    <w:uiPriority w:val="0"/>
    <w:pPr>
      <w:numPr>
        <w:ilvl w:val="2"/>
        <w:numId w:val="4"/>
      </w:numPr>
      <w:tabs>
        <w:tab w:val="clear" w:pos="720"/>
      </w:tabs>
    </w:pPr>
  </w:style>
  <w:style w:type="paragraph" w:customStyle="1" w:styleId="350">
    <w:name w:val="样式 样式 首行缩进:  0.77 厘米 段前: 0.1 行 + 首行缩进:  2 字符 段前: 0.1 行"/>
    <w:basedOn w:val="1"/>
    <w:qFormat/>
    <w:uiPriority w:val="0"/>
    <w:pPr>
      <w:topLinePunct w:val="0"/>
      <w:adjustRightInd/>
      <w:spacing w:line="276" w:lineRule="auto"/>
      <w:ind w:firstLine="200" w:firstLineChars="200"/>
    </w:pPr>
  </w:style>
  <w:style w:type="paragraph" w:customStyle="1" w:styleId="351">
    <w:name w:val="样式 正文（首行缩进两字） Char + 加粗"/>
    <w:basedOn w:val="128"/>
    <w:qFormat/>
    <w:uiPriority w:val="0"/>
    <w:pPr>
      <w:snapToGrid w:val="0"/>
      <w:spacing w:after="31" w:afterLines="10" w:afterAutospacing="0"/>
      <w:ind w:firstLine="200"/>
    </w:pPr>
    <w:rPr>
      <w:b/>
    </w:rPr>
  </w:style>
  <w:style w:type="paragraph" w:customStyle="1" w:styleId="352">
    <w:name w:val="图表脚注"/>
    <w:next w:val="120"/>
    <w:qFormat/>
    <w:uiPriority w:val="0"/>
    <w:pPr>
      <w:widowControl w:val="0"/>
      <w:adjustRightInd w:val="0"/>
      <w:spacing w:line="360" w:lineRule="atLeast"/>
      <w:ind w:left="300" w:leftChars="200" w:hanging="100" w:hangingChars="100"/>
      <w:jc w:val="both"/>
      <w:textAlignment w:val="baseline"/>
    </w:pPr>
    <w:rPr>
      <w:rFonts w:ascii="宋体" w:hAnsi="Times New Roman" w:eastAsia="宋体" w:cs="Times New Roman"/>
      <w:sz w:val="18"/>
      <w:lang w:val="en-US" w:eastAsia="zh-CN" w:bidi="ar-SA"/>
    </w:rPr>
  </w:style>
  <w:style w:type="paragraph" w:customStyle="1" w:styleId="353">
    <w:name w:val="附录五级条标题"/>
    <w:basedOn w:val="263"/>
    <w:next w:val="120"/>
    <w:qFormat/>
    <w:uiPriority w:val="0"/>
    <w:pPr>
      <w:outlineLvl w:val="6"/>
    </w:pPr>
  </w:style>
  <w:style w:type="paragraph" w:customStyle="1" w:styleId="354">
    <w:name w:val="样式 样式 正文（首行缩进两字） Char + 宋体 加粗 首行缩进:  2 字符 段前: 0.1 行 + 首行缩进:  2 字..."/>
    <w:basedOn w:val="355"/>
    <w:qFormat/>
    <w:uiPriority w:val="0"/>
    <w:pPr>
      <w:spacing w:line="276" w:lineRule="auto"/>
    </w:pPr>
  </w:style>
  <w:style w:type="paragraph" w:customStyle="1" w:styleId="355">
    <w:name w:val="样式 正文（首行缩进两字） Char + 宋体 加粗 首行缩进:  2 字符 段前: 0.1 行"/>
    <w:basedOn w:val="128"/>
    <w:qFormat/>
    <w:uiPriority w:val="0"/>
    <w:pPr>
      <w:snapToGrid w:val="0"/>
      <w:spacing w:after="31" w:afterLines="10" w:afterAutospacing="0" w:line="300" w:lineRule="auto"/>
      <w:ind w:firstLine="200"/>
    </w:pPr>
    <w:rPr>
      <w:rFonts w:ascii="宋体" w:hAnsi="宋体"/>
      <w:b/>
    </w:rPr>
  </w:style>
  <w:style w:type="paragraph" w:customStyle="1" w:styleId="356">
    <w:name w:val="样式2 样式 a) + 段前: 0行"/>
    <w:basedOn w:val="111"/>
    <w:qFormat/>
    <w:uiPriority w:val="0"/>
    <w:pPr>
      <w:tabs>
        <w:tab w:val="clear" w:pos="780"/>
      </w:tabs>
      <w:spacing w:before="0" w:beforeLines="0" w:beforeAutospacing="0" w:line="276" w:lineRule="auto"/>
      <w:ind w:left="420" w:leftChars="200" w:firstLine="0" w:firstLineChars="0"/>
    </w:pPr>
  </w:style>
  <w:style w:type="paragraph" w:customStyle="1" w:styleId="357">
    <w:name w:val="标准文件_五级条标题"/>
    <w:next w:val="1"/>
    <w:qFormat/>
    <w:uiPriority w:val="0"/>
    <w:pPr>
      <w:widowControl w:val="0"/>
      <w:spacing w:before="50" w:beforeLines="50" w:after="50" w:afterLines="50"/>
      <w:jc w:val="both"/>
      <w:outlineLvl w:val="5"/>
    </w:pPr>
    <w:rPr>
      <w:rFonts w:ascii="黑体" w:hAnsi="Times New Roman" w:eastAsia="黑体" w:cs="Times New Roman"/>
      <w:sz w:val="21"/>
      <w:lang w:val="en-US" w:eastAsia="zh-CN" w:bidi="ar-SA"/>
    </w:rPr>
  </w:style>
  <w:style w:type="paragraph" w:customStyle="1" w:styleId="358">
    <w:name w:val="样式 正文（首行缩进两字） Char + 首行缩进:  2 字符"/>
    <w:basedOn w:val="128"/>
    <w:qFormat/>
    <w:uiPriority w:val="0"/>
    <w:pPr>
      <w:snapToGrid w:val="0"/>
      <w:spacing w:after="31" w:afterLines="10" w:afterAutospacing="0"/>
      <w:ind w:firstLine="200"/>
      <w:jc w:val="center"/>
    </w:pPr>
    <w:rPr>
      <w:b/>
    </w:rPr>
  </w:style>
  <w:style w:type="paragraph" w:customStyle="1" w:styleId="359">
    <w:name w:val="样式 标题 5 + 段前: 0.1 行2"/>
    <w:basedOn w:val="360"/>
    <w:next w:val="360"/>
    <w:qFormat/>
    <w:uiPriority w:val="0"/>
    <w:pPr>
      <w:tabs>
        <w:tab w:val="left" w:pos="0"/>
        <w:tab w:val="left" w:pos="210"/>
        <w:tab w:val="left" w:pos="1050"/>
        <w:tab w:val="left" w:pos="1080"/>
        <w:tab w:val="left" w:pos="1134"/>
      </w:tabs>
      <w:spacing w:before="93" w:beforeLines="30" w:beforeAutospacing="0" w:after="156" w:afterLines="50" w:afterAutospacing="0"/>
    </w:pPr>
    <w:rPr>
      <w:rFonts w:eastAsia="黑体"/>
      <w:b w:val="0"/>
    </w:rPr>
  </w:style>
  <w:style w:type="paragraph" w:customStyle="1" w:styleId="360">
    <w:name w:val="样式1 样式 标题 5 + 段前: 0 行"/>
    <w:basedOn w:val="361"/>
    <w:next w:val="1"/>
    <w:qFormat/>
    <w:uiPriority w:val="0"/>
    <w:pPr>
      <w:tabs>
        <w:tab w:val="left" w:pos="0"/>
        <w:tab w:val="left" w:pos="210"/>
        <w:tab w:val="left" w:pos="1050"/>
        <w:tab w:val="left" w:pos="1080"/>
      </w:tabs>
      <w:spacing w:before="0" w:beforeLines="0" w:beforeAutospacing="0" w:line="276" w:lineRule="auto"/>
    </w:pPr>
  </w:style>
  <w:style w:type="paragraph" w:customStyle="1" w:styleId="361">
    <w:name w:val="样式 标题 5 + 段前: 0.1 行"/>
    <w:basedOn w:val="7"/>
    <w:qFormat/>
    <w:uiPriority w:val="0"/>
    <w:pPr>
      <w:keepNext w:val="0"/>
      <w:keepLines w:val="0"/>
      <w:tabs>
        <w:tab w:val="left" w:pos="0"/>
        <w:tab w:val="left" w:pos="210"/>
      </w:tabs>
      <w:topLinePunct w:val="0"/>
      <w:adjustRightInd/>
      <w:spacing w:before="31" w:beforeLines="10" w:beforeAutospacing="0" w:after="0" w:afterLines="0" w:afterAutospacing="0" w:line="312" w:lineRule="auto"/>
    </w:pPr>
    <w:rPr>
      <w:sz w:val="21"/>
    </w:rPr>
  </w:style>
  <w:style w:type="paragraph" w:customStyle="1" w:styleId="362">
    <w:name w:val="附录标题3"/>
    <w:basedOn w:val="5"/>
    <w:next w:val="72"/>
    <w:qFormat/>
    <w:uiPriority w:val="0"/>
    <w:pPr>
      <w:keepNext w:val="0"/>
      <w:keepLines w:val="0"/>
      <w:tabs>
        <w:tab w:val="left" w:pos="660"/>
      </w:tabs>
      <w:topLinePunct w:val="0"/>
      <w:spacing w:before="60" w:beforeLines="0" w:beforeAutospacing="0" w:after="60" w:afterLines="0" w:afterAutospacing="0" w:line="240" w:lineRule="auto"/>
      <w:ind w:left="700" w:hanging="700"/>
      <w:jc w:val="left"/>
    </w:pPr>
    <w:rPr>
      <w:rFonts w:ascii="Arial" w:hAnsi="Arial" w:eastAsia="黑体"/>
      <w:b w:val="0"/>
      <w:kern w:val="0"/>
      <w:sz w:val="21"/>
    </w:rPr>
  </w:style>
  <w:style w:type="paragraph" w:customStyle="1" w:styleId="363">
    <w:name w:val="副标题2"/>
    <w:basedOn w:val="1"/>
    <w:qFormat/>
    <w:uiPriority w:val="0"/>
    <w:pPr>
      <w:topLinePunct w:val="0"/>
      <w:adjustRightInd/>
      <w:spacing w:before="240" w:beforeLines="0" w:beforeAutospacing="0" w:after="60" w:afterLines="0" w:afterAutospacing="0" w:line="312" w:lineRule="auto"/>
      <w:jc w:val="center"/>
      <w:outlineLvl w:val="1"/>
    </w:pPr>
    <w:rPr>
      <w:rFonts w:ascii="Arial" w:hAnsi="Arial"/>
      <w:b/>
      <w:kern w:val="28"/>
      <w:sz w:val="32"/>
    </w:rPr>
  </w:style>
  <w:style w:type="paragraph" w:customStyle="1" w:styleId="364">
    <w:name w:val="样式 样式 标题 1 + 段前: 0.7 行 段后: 0.7 行"/>
    <w:basedOn w:val="213"/>
    <w:qFormat/>
    <w:uiPriority w:val="0"/>
    <w:pPr>
      <w:tabs>
        <w:tab w:val="left" w:pos="340"/>
        <w:tab w:val="clear" w:pos="360"/>
      </w:tabs>
      <w:spacing w:before="312" w:beforeLines="100" w:beforeAutospacing="0" w:after="312" w:afterLines="100" w:afterAutospacing="0"/>
    </w:pPr>
  </w:style>
  <w:style w:type="paragraph" w:customStyle="1" w:styleId="365">
    <w:name w:val=" Char Char Char Char Char Char1 Char"/>
    <w:basedOn w:val="1"/>
    <w:qFormat/>
    <w:uiPriority w:val="0"/>
    <w:pPr>
      <w:topLinePunct w:val="0"/>
      <w:adjustRightInd/>
      <w:snapToGrid w:val="0"/>
      <w:spacing w:line="360" w:lineRule="auto"/>
    </w:pPr>
    <w:rPr>
      <w:rFonts w:ascii="Tahoma" w:hAnsi="Tahoma"/>
      <w:sz w:val="24"/>
    </w:rPr>
  </w:style>
  <w:style w:type="paragraph" w:customStyle="1" w:styleId="366">
    <w:name w:val="批注主题 Char Char"/>
    <w:basedOn w:val="30"/>
    <w:next w:val="30"/>
    <w:qFormat/>
    <w:uiPriority w:val="0"/>
    <w:pPr>
      <w:topLinePunct w:val="0"/>
      <w:spacing w:line="300" w:lineRule="auto"/>
    </w:pPr>
    <w:rPr>
      <w:rFonts w:ascii="Arial" w:hAnsi="Arial"/>
      <w:b/>
    </w:rPr>
  </w:style>
  <w:style w:type="paragraph" w:customStyle="1" w:styleId="367">
    <w:name w:val="默认段落字体 Para Char Char Char Char Char"/>
    <w:basedOn w:val="1"/>
    <w:qFormat/>
    <w:uiPriority w:val="0"/>
    <w:pPr>
      <w:topLinePunct w:val="0"/>
      <w:adjustRightInd/>
    </w:pPr>
    <w:rPr>
      <w:rFonts w:ascii="宋体" w:hAnsi="宋体"/>
      <w:b/>
      <w:color w:val="000000"/>
      <w:sz w:val="24"/>
    </w:rPr>
  </w:style>
  <w:style w:type="paragraph" w:customStyle="1" w:styleId="368">
    <w:name w:val="标准书脚_奇数页"/>
    <w:qFormat/>
    <w:uiPriority w:val="0"/>
    <w:pPr>
      <w:widowControl w:val="0"/>
      <w:adjustRightInd w:val="0"/>
      <w:spacing w:before="120" w:line="360" w:lineRule="atLeast"/>
      <w:jc w:val="right"/>
      <w:textAlignment w:val="baseline"/>
    </w:pPr>
    <w:rPr>
      <w:rFonts w:ascii="Times New Roman" w:hAnsi="Times New Roman" w:eastAsia="宋体" w:cs="Times New Roman"/>
      <w:sz w:val="18"/>
      <w:lang w:val="en-US" w:eastAsia="zh-CN" w:bidi="ar-SA"/>
    </w:rPr>
  </w:style>
  <w:style w:type="paragraph" w:customStyle="1" w:styleId="369">
    <w:name w:val="术语定义五级条标题"/>
    <w:basedOn w:val="119"/>
    <w:next w:val="120"/>
    <w:qFormat/>
    <w:uiPriority w:val="0"/>
    <w:pPr>
      <w:widowControl/>
      <w:numPr>
        <w:ilvl w:val="4"/>
        <w:numId w:val="4"/>
      </w:numPr>
      <w:tabs>
        <w:tab w:val="left" w:pos="420"/>
        <w:tab w:val="clear" w:pos="1440"/>
      </w:tabs>
      <w:adjustRightInd/>
      <w:spacing w:before="0" w:beforeLines="0" w:after="0" w:afterLines="0" w:line="240" w:lineRule="auto"/>
      <w:textAlignment w:val="auto"/>
      <w:outlineLvl w:val="9"/>
    </w:pPr>
    <w:rPr>
      <w:b/>
    </w:rPr>
  </w:style>
  <w:style w:type="paragraph" w:customStyle="1" w:styleId="370">
    <w:name w:val="五级无标题条"/>
    <w:basedOn w:val="1"/>
    <w:qFormat/>
    <w:uiPriority w:val="0"/>
    <w:pPr>
      <w:numPr>
        <w:ilvl w:val="6"/>
        <w:numId w:val="6"/>
      </w:numPr>
      <w:topLinePunct w:val="0"/>
      <w:adjustRightInd/>
    </w:pPr>
    <w:rPr>
      <w:rFonts w:ascii="黑体" w:eastAsia="黑体"/>
      <w:b/>
    </w:rPr>
  </w:style>
  <w:style w:type="paragraph" w:customStyle="1" w:styleId="371">
    <w:name w:val="Style 三级条标题 + Before:  6 pt"/>
    <w:basedOn w:val="193"/>
    <w:qFormat/>
    <w:uiPriority w:val="0"/>
    <w:pPr>
      <w:widowControl/>
      <w:numPr>
        <w:ilvl w:val="0"/>
        <w:numId w:val="0"/>
      </w:numPr>
      <w:tabs>
        <w:tab w:val="left" w:pos="1440"/>
      </w:tabs>
      <w:adjustRightInd/>
      <w:spacing w:line="240" w:lineRule="auto"/>
      <w:textAlignment w:val="auto"/>
    </w:pPr>
    <w:rPr>
      <w:rFonts w:ascii="黑体"/>
    </w:rPr>
  </w:style>
  <w:style w:type="paragraph" w:customStyle="1" w:styleId="372">
    <w:name w:val="条文说明"/>
    <w:basedOn w:val="373"/>
    <w:qFormat/>
    <w:uiPriority w:val="0"/>
  </w:style>
  <w:style w:type="paragraph" w:customStyle="1" w:styleId="373">
    <w:name w:val="名称"/>
    <w:basedOn w:val="206"/>
    <w:next w:val="120"/>
    <w:qFormat/>
    <w:uiPriority w:val="0"/>
    <w:pPr>
      <w:widowControl/>
      <w:adjustRightInd/>
      <w:spacing w:line="460" w:lineRule="exact"/>
      <w:textAlignment w:val="auto"/>
      <w:outlineLvl w:val="9"/>
    </w:pPr>
    <w:rPr>
      <w:b/>
    </w:rPr>
  </w:style>
  <w:style w:type="paragraph" w:customStyle="1" w:styleId="374">
    <w:name w:val="_附录编号标题"/>
    <w:basedOn w:val="1"/>
    <w:next w:val="278"/>
    <w:qFormat/>
    <w:uiPriority w:val="0"/>
    <w:pPr>
      <w:topLinePunct w:val="0"/>
      <w:adjustRightInd/>
      <w:snapToGrid w:val="0"/>
      <w:spacing w:before="567" w:beforeLines="0" w:beforeAutospacing="0"/>
      <w:jc w:val="center"/>
    </w:pPr>
    <w:rPr>
      <w:rFonts w:ascii="Arial" w:hAnsi="Arial" w:eastAsia="黑体"/>
      <w:color w:val="000000"/>
    </w:rPr>
  </w:style>
  <w:style w:type="paragraph" w:customStyle="1" w:styleId="375">
    <w:name w:val="_列项符号2"/>
    <w:basedOn w:val="28"/>
    <w:qFormat/>
    <w:uiPriority w:val="0"/>
    <w:pPr>
      <w:tabs>
        <w:tab w:val="left" w:pos="820"/>
      </w:tabs>
      <w:snapToGrid w:val="0"/>
      <w:spacing w:line="276" w:lineRule="auto"/>
      <w:ind w:left="820" w:hanging="420"/>
    </w:pPr>
  </w:style>
  <w:style w:type="paragraph" w:customStyle="1" w:styleId="376">
    <w:name w:val="样式4"/>
    <w:basedOn w:val="1"/>
    <w:qFormat/>
    <w:uiPriority w:val="0"/>
    <w:pPr>
      <w:keepNext/>
      <w:tabs>
        <w:tab w:val="left" w:pos="360"/>
        <w:tab w:val="left" w:pos="814"/>
      </w:tabs>
      <w:topLinePunct w:val="0"/>
      <w:snapToGrid w:val="0"/>
      <w:spacing w:before="31" w:beforeLines="10" w:beforeAutospacing="0" w:line="312" w:lineRule="auto"/>
      <w:ind w:left="300" w:firstLine="454"/>
    </w:pPr>
  </w:style>
  <w:style w:type="paragraph" w:customStyle="1" w:styleId="377">
    <w:name w:val="ICS"/>
    <w:basedOn w:val="378"/>
    <w:qFormat/>
    <w:uiPriority w:val="0"/>
    <w:pPr>
      <w:widowControl/>
      <w:adjustRightInd/>
      <w:spacing w:line="240" w:lineRule="auto"/>
      <w:jc w:val="left"/>
      <w:textAlignment w:val="auto"/>
    </w:pPr>
    <w:rPr>
      <w:rFonts w:ascii="黑体" w:eastAsia="黑体"/>
      <w:sz w:val="21"/>
    </w:rPr>
  </w:style>
  <w:style w:type="paragraph" w:customStyle="1" w:styleId="378">
    <w:name w:val="封面正文"/>
    <w:qFormat/>
    <w:uiPriority w:val="0"/>
    <w:pPr>
      <w:widowControl w:val="0"/>
      <w:adjustRightInd w:val="0"/>
      <w:spacing w:line="360" w:lineRule="atLeast"/>
      <w:jc w:val="both"/>
      <w:textAlignment w:val="baseline"/>
    </w:pPr>
    <w:rPr>
      <w:rFonts w:ascii="Times New Roman" w:hAnsi="Times New Roman" w:eastAsia="宋体" w:cs="Times New Roman"/>
      <w:lang w:val="en-US" w:eastAsia="zh-CN" w:bidi="ar-SA"/>
    </w:rPr>
  </w:style>
  <w:style w:type="paragraph" w:customStyle="1" w:styleId="379">
    <w:name w:val="奇页脚样式"/>
    <w:basedOn w:val="50"/>
    <w:qFormat/>
    <w:uiPriority w:val="0"/>
    <w:pPr>
      <w:keepLines/>
      <w:widowControl/>
      <w:pBdr>
        <w:bottom w:val="single" w:color="auto" w:sz="6" w:space="1"/>
      </w:pBdr>
      <w:tabs>
        <w:tab w:val="center" w:pos="-18551"/>
        <w:tab w:val="right" w:pos="4320"/>
        <w:tab w:val="clear" w:pos="4153"/>
        <w:tab w:val="clear" w:pos="8306"/>
      </w:tabs>
      <w:topLinePunct w:val="0"/>
      <w:adjustRightInd/>
      <w:snapToGrid/>
      <w:spacing w:before="600" w:beforeLines="0" w:beforeAutospacing="0" w:line="300" w:lineRule="auto"/>
      <w:ind w:rightChars="0"/>
      <w:jc w:val="left"/>
    </w:pPr>
    <w:rPr>
      <w:rFonts w:ascii="Arial" w:hAnsi="Arial"/>
      <w:b/>
      <w:spacing w:val="-4"/>
      <w:kern w:val="0"/>
      <w:sz w:val="21"/>
    </w:rPr>
  </w:style>
  <w:style w:type="paragraph" w:customStyle="1" w:styleId="380">
    <w:name w:val="样式1 样式 标题 4 + 段前: 0 行 + Times New Roman"/>
    <w:basedOn w:val="1"/>
    <w:next w:val="1"/>
    <w:qFormat/>
    <w:uiPriority w:val="0"/>
    <w:pPr>
      <w:tabs>
        <w:tab w:val="left" w:pos="105"/>
        <w:tab w:val="left" w:pos="840"/>
        <w:tab w:val="left" w:pos="1021"/>
        <w:tab w:val="left" w:pos="1155"/>
      </w:tabs>
      <w:topLinePunct w:val="0"/>
      <w:adjustRightInd/>
      <w:spacing w:line="276" w:lineRule="auto"/>
      <w:outlineLvl w:val="3"/>
    </w:pPr>
    <w:rPr>
      <w:b/>
    </w:rPr>
  </w:style>
  <w:style w:type="paragraph" w:customStyle="1" w:styleId="381">
    <w:name w:val="样式 标题 3 + 段前: 0.1 行"/>
    <w:basedOn w:val="5"/>
    <w:qFormat/>
    <w:uiPriority w:val="0"/>
    <w:pPr>
      <w:keepNext w:val="0"/>
      <w:keepLines w:val="0"/>
      <w:tabs>
        <w:tab w:val="left" w:pos="210"/>
      </w:tabs>
      <w:topLinePunct w:val="0"/>
      <w:adjustRightInd/>
      <w:spacing w:before="31" w:beforeLines="10" w:beforeAutospacing="0" w:after="0" w:afterLines="0" w:afterAutospacing="0" w:line="312" w:lineRule="auto"/>
    </w:pPr>
    <w:rPr>
      <w:sz w:val="21"/>
    </w:rPr>
  </w:style>
  <w:style w:type="paragraph" w:customStyle="1" w:styleId="382">
    <w:name w:val="Char"/>
    <w:basedOn w:val="1"/>
    <w:qFormat/>
    <w:uiPriority w:val="0"/>
    <w:pPr>
      <w:topLinePunct w:val="0"/>
      <w:adjustRightInd/>
    </w:pPr>
  </w:style>
  <w:style w:type="paragraph" w:customStyle="1" w:styleId="383">
    <w:name w:val="奇页页眉样式"/>
    <w:basedOn w:val="51"/>
    <w:qFormat/>
    <w:uiPriority w:val="0"/>
    <w:pPr>
      <w:keepLines/>
      <w:widowControl/>
      <w:pBdr>
        <w:bottom w:val="none" w:color="auto" w:sz="0" w:space="0"/>
      </w:pBdr>
      <w:tabs>
        <w:tab w:val="center" w:pos="-18551"/>
        <w:tab w:val="right" w:pos="4320"/>
        <w:tab w:val="clear" w:pos="4153"/>
        <w:tab w:val="clear" w:pos="8306"/>
      </w:tabs>
      <w:topLinePunct w:val="0"/>
      <w:adjustRightInd/>
      <w:spacing w:line="240" w:lineRule="atLeast"/>
      <w:jc w:val="left"/>
    </w:pPr>
    <w:rPr>
      <w:rFonts w:ascii="Arial" w:hAnsi="Arial" w:eastAsia="黑体"/>
      <w:spacing w:val="-4"/>
      <w:kern w:val="0"/>
      <w:sz w:val="21"/>
    </w:rPr>
  </w:style>
  <w:style w:type="paragraph" w:customStyle="1" w:styleId="384">
    <w:name w:val="样式1 标题 3 + 段前: 0.1 行 + 段前: 0.1 行 + 段前: 0.5 行 段后: 0.5 行"/>
    <w:basedOn w:val="346"/>
    <w:qFormat/>
    <w:uiPriority w:val="0"/>
    <w:pPr>
      <w:tabs>
        <w:tab w:val="left" w:pos="700"/>
        <w:tab w:val="clear" w:pos="210"/>
        <w:tab w:val="clear" w:pos="630"/>
        <w:tab w:val="clear" w:pos="720"/>
      </w:tabs>
      <w:spacing w:before="93" w:beforeLines="30" w:beforeAutospacing="0" w:after="93" w:afterLines="30" w:afterAutospacing="0" w:line="240" w:lineRule="auto"/>
    </w:pPr>
    <w:rPr>
      <w:rFonts w:eastAsia="黑体"/>
      <w:b w:val="0"/>
    </w:rPr>
  </w:style>
  <w:style w:type="paragraph" w:customStyle="1" w:styleId="385">
    <w:name w:val="朱公式"/>
    <w:basedOn w:val="128"/>
    <w:qFormat/>
    <w:uiPriority w:val="0"/>
    <w:pPr>
      <w:tabs>
        <w:tab w:val="center" w:pos="4763"/>
        <w:tab w:val="right" w:pos="9412"/>
      </w:tabs>
    </w:pPr>
    <w:rPr>
      <w:kern w:val="21"/>
    </w:rPr>
  </w:style>
  <w:style w:type="paragraph" w:customStyle="1" w:styleId="386">
    <w:name w:val="样式 标题 1 + 宋体 小四"/>
    <w:basedOn w:val="4"/>
    <w:qFormat/>
    <w:uiPriority w:val="0"/>
    <w:pPr>
      <w:tabs>
        <w:tab w:val="left" w:pos="425"/>
      </w:tabs>
      <w:topLinePunct w:val="0"/>
      <w:adjustRightInd/>
      <w:spacing w:before="100" w:beforeLines="0" w:beforeAutospacing="1" w:after="100" w:afterLines="0" w:afterAutospacing="1" w:line="360" w:lineRule="auto"/>
      <w:ind w:left="425" w:hanging="425"/>
    </w:pPr>
    <w:rPr>
      <w:rFonts w:ascii="宋体" w:hAnsi="宋体"/>
      <w:kern w:val="0"/>
      <w:sz w:val="24"/>
    </w:rPr>
  </w:style>
  <w:style w:type="paragraph" w:customStyle="1" w:styleId="387">
    <w:name w:val="_列项符号1"/>
    <w:basedOn w:val="28"/>
    <w:qFormat/>
    <w:uiPriority w:val="0"/>
    <w:pPr>
      <w:snapToGrid w:val="0"/>
      <w:spacing w:line="276" w:lineRule="auto"/>
      <w:ind w:left="400" w:leftChars="200" w:hanging="200" w:hangingChars="200"/>
    </w:pPr>
    <w:rPr>
      <w:color w:val="000000"/>
    </w:rPr>
  </w:style>
  <w:style w:type="paragraph" w:customStyle="1" w:styleId="388">
    <w:name w:val="Table Text"/>
    <w:qFormat/>
    <w:uiPriority w:val="0"/>
    <w:pPr>
      <w:snapToGrid w:val="0"/>
      <w:spacing w:before="80" w:after="80"/>
    </w:pPr>
    <w:rPr>
      <w:rFonts w:ascii="Arial" w:hAnsi="Arial" w:eastAsia="宋体" w:cs="Times New Roman"/>
      <w:sz w:val="18"/>
      <w:lang w:val="en-US" w:eastAsia="zh-CN" w:bidi="ar-SA"/>
    </w:rPr>
  </w:style>
  <w:style w:type="paragraph" w:customStyle="1" w:styleId="389">
    <w:name w:val="列项·"/>
    <w:qFormat/>
    <w:uiPriority w:val="0"/>
    <w:pPr>
      <w:numPr>
        <w:ilvl w:val="0"/>
        <w:numId w:val="15"/>
      </w:numPr>
      <w:tabs>
        <w:tab w:val="left" w:pos="840"/>
        <w:tab w:val="clear" w:pos="1140"/>
      </w:tabs>
      <w:ind w:left="840" w:leftChars="200" w:hanging="420" w:hangingChars="200"/>
      <w:jc w:val="both"/>
    </w:pPr>
    <w:rPr>
      <w:rFonts w:ascii="宋体" w:hAnsi="Times New Roman" w:eastAsia="宋体" w:cs="Times New Roman"/>
      <w:sz w:val="21"/>
      <w:lang w:val="en-US" w:eastAsia="zh-CN" w:bidi="ar-SA"/>
    </w:rPr>
  </w:style>
  <w:style w:type="paragraph" w:customStyle="1" w:styleId="390">
    <w:name w:val="CM40"/>
    <w:basedOn w:val="197"/>
    <w:next w:val="197"/>
    <w:qFormat/>
    <w:uiPriority w:val="0"/>
    <w:pPr>
      <w:spacing w:line="320" w:lineRule="atLeast"/>
    </w:pPr>
    <w:rPr>
      <w:rFonts w:ascii="Times New Roman"/>
      <w:color w:val="auto"/>
    </w:rPr>
  </w:style>
  <w:style w:type="paragraph" w:customStyle="1" w:styleId="391">
    <w:name w:val="样式 Times New Roman 段前: 0.1 行 行距: 多倍行距 1.25 字行"/>
    <w:basedOn w:val="1"/>
    <w:qFormat/>
    <w:uiPriority w:val="0"/>
    <w:pPr>
      <w:topLinePunct w:val="0"/>
      <w:adjustRightInd/>
      <w:spacing w:line="276" w:lineRule="auto"/>
    </w:pPr>
    <w:rPr>
      <w:rFonts w:hAnsi="宋体"/>
    </w:rPr>
  </w:style>
  <w:style w:type="paragraph" w:customStyle="1" w:styleId="392">
    <w:name w:val="封面一致性程度标识"/>
    <w:qFormat/>
    <w:uiPriority w:val="0"/>
    <w:pPr>
      <w:widowControl w:val="0"/>
      <w:adjustRightInd w:val="0"/>
      <w:spacing w:before="440" w:line="400" w:lineRule="exact"/>
      <w:jc w:val="center"/>
      <w:textAlignment w:val="baseline"/>
    </w:pPr>
    <w:rPr>
      <w:rFonts w:ascii="宋体" w:hAnsi="Times New Roman" w:eastAsia="宋体" w:cs="Times New Roman"/>
      <w:sz w:val="28"/>
      <w:lang w:val="en-US" w:eastAsia="zh-CN" w:bidi="ar-SA"/>
    </w:rPr>
  </w:style>
  <w:style w:type="paragraph" w:customStyle="1" w:styleId="393">
    <w:name w:val="数字编号列项（二级）"/>
    <w:qFormat/>
    <w:uiPriority w:val="0"/>
    <w:pPr>
      <w:widowControl w:val="0"/>
      <w:adjustRightInd w:val="0"/>
      <w:spacing w:line="360" w:lineRule="atLeast"/>
      <w:ind w:left="1260" w:leftChars="400" w:hanging="420" w:hangingChars="200"/>
      <w:jc w:val="both"/>
      <w:textAlignment w:val="baseline"/>
    </w:pPr>
    <w:rPr>
      <w:rFonts w:ascii="宋体" w:hAnsi="Times New Roman" w:eastAsia="宋体" w:cs="Times New Roman"/>
      <w:sz w:val="21"/>
      <w:lang w:val="en-US" w:eastAsia="zh-CN" w:bidi="ar-SA"/>
    </w:rPr>
  </w:style>
  <w:style w:type="paragraph" w:customStyle="1" w:styleId="394">
    <w:name w:val="图说a"/>
    <w:basedOn w:val="1"/>
    <w:qFormat/>
    <w:uiPriority w:val="0"/>
    <w:pPr>
      <w:spacing w:before="60" w:beforeLines="0" w:beforeAutospacing="0" w:after="160" w:afterLines="0" w:afterAutospacing="0" w:line="312" w:lineRule="exact"/>
      <w:ind w:firstLine="420"/>
      <w:jc w:val="center"/>
    </w:pPr>
    <w:rPr>
      <w:rFonts w:eastAsia="黑体"/>
    </w:rPr>
  </w:style>
  <w:style w:type="paragraph" w:customStyle="1" w:styleId="395">
    <w:name w:val="标准文件_四级条标题"/>
    <w:next w:val="1"/>
    <w:qFormat/>
    <w:uiPriority w:val="0"/>
    <w:pPr>
      <w:widowControl w:val="0"/>
      <w:spacing w:before="50" w:beforeLines="50" w:after="50" w:afterLines="50"/>
      <w:jc w:val="both"/>
      <w:outlineLvl w:val="4"/>
    </w:pPr>
    <w:rPr>
      <w:rFonts w:ascii="黑体" w:hAnsi="Times New Roman" w:eastAsia="黑体" w:cs="Times New Roman"/>
      <w:sz w:val="21"/>
      <w:lang w:val="en-US" w:eastAsia="zh-CN" w:bidi="ar-SA"/>
    </w:rPr>
  </w:style>
  <w:style w:type="paragraph" w:customStyle="1" w:styleId="396">
    <w:name w:val="部分标签"/>
    <w:basedOn w:val="217"/>
    <w:next w:val="1"/>
    <w:qFormat/>
    <w:uiPriority w:val="0"/>
    <w:pPr>
      <w:spacing w:before="400" w:beforeLines="0" w:beforeAutospacing="0" w:after="440" w:afterLines="0" w:afterAutospacing="0"/>
    </w:pPr>
    <w:rPr>
      <w:rFonts w:ascii="Times New Roman" w:hAnsi="Times New Roman"/>
      <w:spacing w:val="-30"/>
      <w:sz w:val="60"/>
    </w:rPr>
  </w:style>
  <w:style w:type="paragraph" w:customStyle="1" w:styleId="397">
    <w:name w:val="工程建设图标题"/>
    <w:basedOn w:val="200"/>
    <w:qFormat/>
    <w:uiPriority w:val="0"/>
    <w:pPr>
      <w:numPr>
        <w:ilvl w:val="5"/>
        <w:numId w:val="3"/>
      </w:numPr>
      <w:jc w:val="center"/>
      <w:outlineLvl w:val="5"/>
    </w:pPr>
  </w:style>
  <w:style w:type="paragraph" w:customStyle="1" w:styleId="398">
    <w:name w:val="样式 样式 正文文本 2 + 段前: 0.1 行 + 悬挂缩进: 0.03 字符"/>
    <w:basedOn w:val="279"/>
    <w:qFormat/>
    <w:uiPriority w:val="0"/>
    <w:pPr>
      <w:spacing w:before="10" w:beforeLines="0" w:beforeAutospacing="0"/>
      <w:ind w:hanging="6"/>
      <w:jc w:val="center"/>
    </w:pPr>
  </w:style>
  <w:style w:type="paragraph" w:customStyle="1" w:styleId="399">
    <w:name w:val="示例"/>
    <w:next w:val="120"/>
    <w:qFormat/>
    <w:uiPriority w:val="0"/>
    <w:pPr>
      <w:widowControl w:val="0"/>
      <w:tabs>
        <w:tab w:val="left" w:pos="816"/>
      </w:tabs>
      <w:adjustRightInd w:val="0"/>
      <w:spacing w:line="360" w:lineRule="atLeast"/>
      <w:ind w:firstLine="419" w:firstLineChars="233"/>
      <w:jc w:val="both"/>
      <w:textAlignment w:val="baseline"/>
    </w:pPr>
    <w:rPr>
      <w:rFonts w:ascii="宋体" w:hAnsi="Times New Roman" w:eastAsia="宋体" w:cs="Times New Roman"/>
      <w:sz w:val="18"/>
      <w:lang w:val="en-US" w:eastAsia="zh-CN" w:bidi="ar-SA"/>
    </w:rPr>
  </w:style>
  <w:style w:type="paragraph" w:customStyle="1" w:styleId="400">
    <w:name w:val=" Char Char Char Char Char Char Char Char Char Char Char1 Char"/>
    <w:basedOn w:val="1"/>
    <w:qFormat/>
    <w:uiPriority w:val="0"/>
    <w:pPr>
      <w:widowControl/>
      <w:topLinePunct w:val="0"/>
      <w:adjustRightInd/>
      <w:spacing w:after="160" w:afterLines="0" w:afterAutospacing="0" w:line="240" w:lineRule="exact"/>
      <w:jc w:val="left"/>
    </w:pPr>
  </w:style>
  <w:style w:type="paragraph" w:customStyle="1" w:styleId="401">
    <w:name w:val="样式 段前: 0.1 行1"/>
    <w:basedOn w:val="1"/>
    <w:qFormat/>
    <w:uiPriority w:val="0"/>
    <w:pPr>
      <w:topLinePunct w:val="0"/>
      <w:adjustRightInd/>
      <w:spacing w:before="31" w:beforeLines="10" w:beforeAutospacing="0" w:line="312" w:lineRule="auto"/>
    </w:pPr>
  </w:style>
  <w:style w:type="paragraph" w:customStyle="1" w:styleId="402">
    <w:name w:val="_Style 401"/>
    <w:qFormat/>
    <w:uiPriority w:val="0"/>
    <w:rPr>
      <w:rFonts w:ascii="Calibri" w:hAnsi="Calibri" w:eastAsia="宋体" w:cs="Times New Roman"/>
      <w:kern w:val="2"/>
      <w:sz w:val="21"/>
      <w:lang w:val="en-US" w:eastAsia="zh-CN" w:bidi="ar-SA"/>
    </w:rPr>
  </w:style>
  <w:style w:type="paragraph" w:customStyle="1" w:styleId="403">
    <w:name w:val="其他标准称谓"/>
    <w:qFormat/>
    <w:uiPriority w:val="0"/>
    <w:pPr>
      <w:widowControl w:val="0"/>
      <w:adjustRightInd w:val="0"/>
      <w:spacing w:line="0" w:lineRule="atLeast"/>
      <w:jc w:val="distribute"/>
      <w:textAlignment w:val="baseline"/>
    </w:pPr>
    <w:rPr>
      <w:rFonts w:ascii="黑体" w:hAnsi="宋体" w:eastAsia="黑体" w:cs="Times New Roman"/>
      <w:sz w:val="52"/>
      <w:lang w:val="en-US" w:eastAsia="zh-CN" w:bidi="ar-SA"/>
    </w:rPr>
  </w:style>
  <w:style w:type="paragraph" w:customStyle="1" w:styleId="404">
    <w:name w:val="附录标题"/>
    <w:basedOn w:val="57"/>
    <w:qFormat/>
    <w:uiPriority w:val="0"/>
    <w:pPr>
      <w:topLinePunct w:val="0"/>
      <w:adjustRightInd/>
      <w:spacing w:before="78" w:beforeLines="25" w:beforeAutospacing="0" w:after="78" w:afterLines="25" w:afterAutospacing="0"/>
    </w:pPr>
    <w:rPr>
      <w:rFonts w:ascii="Times New Roman" w:hAnsi="Times New Roman" w:eastAsia="黑体"/>
      <w:b w:val="0"/>
    </w:rPr>
  </w:style>
  <w:style w:type="paragraph" w:customStyle="1" w:styleId="405">
    <w:name w:val="样式 Times New Roman 段前: 0.1 行"/>
    <w:basedOn w:val="1"/>
    <w:qFormat/>
    <w:uiPriority w:val="0"/>
    <w:pPr>
      <w:topLinePunct w:val="0"/>
      <w:adjustRightInd/>
      <w:spacing w:before="31" w:beforeLines="10" w:beforeAutospacing="0" w:line="300" w:lineRule="auto"/>
      <w:ind w:firstLine="200" w:firstLineChars="200"/>
    </w:pPr>
  </w:style>
  <w:style w:type="paragraph" w:customStyle="1" w:styleId="406">
    <w:name w:val="样式 样式 段前: 0.1 行 首行缩进:  2 字符 + 首行缩进:  2 字符 段前: 0.1 行"/>
    <w:basedOn w:val="307"/>
    <w:qFormat/>
    <w:uiPriority w:val="0"/>
    <w:pPr>
      <w:spacing w:line="276" w:lineRule="auto"/>
      <w:ind w:firstLine="420"/>
    </w:pPr>
  </w:style>
  <w:style w:type="paragraph" w:customStyle="1" w:styleId="407">
    <w:name w:val="偶页页眉样式"/>
    <w:basedOn w:val="51"/>
    <w:qFormat/>
    <w:uiPriority w:val="0"/>
    <w:pPr>
      <w:keepLines/>
      <w:widowControl/>
      <w:pBdr>
        <w:bottom w:val="none" w:color="auto" w:sz="0" w:space="0"/>
      </w:pBdr>
      <w:tabs>
        <w:tab w:val="center" w:pos="-18551"/>
        <w:tab w:val="right" w:pos="4320"/>
        <w:tab w:val="clear" w:pos="4153"/>
        <w:tab w:val="clear" w:pos="8306"/>
      </w:tabs>
      <w:topLinePunct w:val="0"/>
      <w:adjustRightInd/>
      <w:spacing w:line="240" w:lineRule="atLeast"/>
      <w:jc w:val="left"/>
    </w:pPr>
    <w:rPr>
      <w:rFonts w:ascii="Arial" w:hAnsi="Arial" w:eastAsia="黑体"/>
      <w:spacing w:val="-4"/>
      <w:kern w:val="0"/>
      <w:sz w:val="21"/>
    </w:rPr>
  </w:style>
  <w:style w:type="paragraph" w:customStyle="1" w:styleId="408">
    <w:name w:val="样式 正文文本 2 + 段前: 0.1 行 + 段后: 1.2 磅 行距: 单倍行距"/>
    <w:basedOn w:val="279"/>
    <w:qFormat/>
    <w:uiPriority w:val="0"/>
    <w:pPr>
      <w:spacing w:before="10" w:beforeLines="0" w:beforeAutospacing="0" w:line="240" w:lineRule="auto"/>
      <w:jc w:val="center"/>
    </w:pPr>
  </w:style>
  <w:style w:type="paragraph" w:customStyle="1" w:styleId="409">
    <w:name w:val="样式 样式 悬挂缩进: 9 字符 段前: 0.1 行 + 左侧:  3.93 字符 悬挂缩进: 8 字符 段前: 0.1 行"/>
    <w:basedOn w:val="1"/>
    <w:qFormat/>
    <w:uiPriority w:val="0"/>
    <w:pPr>
      <w:tabs>
        <w:tab w:val="left" w:pos="0"/>
      </w:tabs>
      <w:topLinePunct w:val="0"/>
      <w:adjustRightInd/>
      <w:spacing w:before="31" w:beforeLines="10" w:beforeAutospacing="0" w:line="312" w:lineRule="auto"/>
      <w:ind w:left="800" w:hanging="400" w:hangingChars="200"/>
    </w:pPr>
  </w:style>
  <w:style w:type="paragraph" w:customStyle="1" w:styleId="410">
    <w:name w:val="附录标识"/>
    <w:basedOn w:val="206"/>
    <w:qFormat/>
    <w:uiPriority w:val="0"/>
    <w:pPr>
      <w:tabs>
        <w:tab w:val="left" w:pos="6405"/>
      </w:tabs>
      <w:spacing w:after="200" w:afterLines="0" w:afterAutospacing="0"/>
    </w:pPr>
    <w:rPr>
      <w:sz w:val="21"/>
    </w:rPr>
  </w:style>
  <w:style w:type="paragraph" w:customStyle="1" w:styleId="411">
    <w:name w:val="副标题1"/>
    <w:basedOn w:val="57"/>
    <w:next w:val="1"/>
    <w:qFormat/>
    <w:uiPriority w:val="0"/>
    <w:pPr>
      <w:topLinePunct w:val="0"/>
      <w:adjustRightInd/>
      <w:snapToGrid w:val="0"/>
      <w:spacing w:before="360" w:beforeLines="0" w:beforeAutospacing="0" w:after="680" w:afterLines="0" w:afterAutospacing="0"/>
    </w:pPr>
    <w:rPr>
      <w:rFonts w:eastAsia="黑体"/>
      <w:b w:val="0"/>
      <w:sz w:val="48"/>
    </w:rPr>
  </w:style>
  <w:style w:type="paragraph" w:customStyle="1" w:styleId="412">
    <w:name w:val="样式 样式 标题 1 + 小四 段前: 0 磅 段后: 0 磅 行距: 1.5 倍行距 + 宋体1"/>
    <w:basedOn w:val="4"/>
    <w:qFormat/>
    <w:uiPriority w:val="0"/>
    <w:pPr>
      <w:numPr>
        <w:ilvl w:val="0"/>
        <w:numId w:val="16"/>
      </w:numPr>
      <w:tabs>
        <w:tab w:val="left" w:pos="425"/>
      </w:tabs>
      <w:topLinePunct w:val="0"/>
      <w:adjustRightInd/>
    </w:pPr>
    <w:rPr>
      <w:rFonts w:ascii="宋体" w:hAnsi="宋体"/>
    </w:rPr>
  </w:style>
  <w:style w:type="paragraph" w:customStyle="1" w:styleId="413">
    <w:name w:val="样式 首行缩进:  0 厘米 行距: 单倍行距"/>
    <w:basedOn w:val="1"/>
    <w:qFormat/>
    <w:uiPriority w:val="0"/>
    <w:pPr>
      <w:topLinePunct w:val="0"/>
      <w:textAlignment w:val="baseline"/>
    </w:pPr>
    <w:rPr>
      <w:kern w:val="0"/>
    </w:rPr>
  </w:style>
  <w:style w:type="paragraph" w:customStyle="1" w:styleId="414">
    <w:name w:val="基准索引样式"/>
    <w:basedOn w:val="1"/>
    <w:qFormat/>
    <w:uiPriority w:val="0"/>
    <w:pPr>
      <w:widowControl/>
      <w:topLinePunct w:val="0"/>
      <w:adjustRightInd/>
      <w:spacing w:line="220" w:lineRule="atLeast"/>
      <w:ind w:left="360"/>
      <w:jc w:val="left"/>
    </w:pPr>
    <w:rPr>
      <w:rFonts w:ascii="Arial" w:hAnsi="Arial"/>
      <w:kern w:val="0"/>
    </w:rPr>
  </w:style>
  <w:style w:type="paragraph" w:customStyle="1" w:styleId="415">
    <w:name w:val="样式 首页脚样式 + 黑色 段前: 3 磅 段后: 3 磅 底端: (单实线 自动设置  0.75 磅 行宽 距正文..."/>
    <w:basedOn w:val="416"/>
    <w:qFormat/>
    <w:uiPriority w:val="0"/>
    <w:pPr>
      <w:pBdr>
        <w:bottom w:val="single" w:color="auto" w:sz="6" w:space="0"/>
      </w:pBdr>
      <w:tabs>
        <w:tab w:val="center" w:pos="-18551"/>
        <w:tab w:val="right" w:pos="4320"/>
      </w:tabs>
      <w:snapToGrid w:val="0"/>
      <w:spacing w:before="0" w:beforeLines="0" w:beforeAutospacing="0"/>
    </w:pPr>
    <w:rPr>
      <w:b w:val="0"/>
      <w:color w:val="000000"/>
      <w:sz w:val="28"/>
    </w:rPr>
  </w:style>
  <w:style w:type="paragraph" w:customStyle="1" w:styleId="416">
    <w:name w:val="首页脚样式"/>
    <w:basedOn w:val="50"/>
    <w:qFormat/>
    <w:uiPriority w:val="0"/>
    <w:pPr>
      <w:keepLines/>
      <w:widowControl/>
      <w:pBdr>
        <w:bottom w:val="single" w:color="auto" w:sz="6" w:space="1"/>
      </w:pBdr>
      <w:tabs>
        <w:tab w:val="center" w:pos="-18551"/>
        <w:tab w:val="right" w:pos="4320"/>
        <w:tab w:val="clear" w:pos="4153"/>
        <w:tab w:val="clear" w:pos="8306"/>
      </w:tabs>
      <w:topLinePunct w:val="0"/>
      <w:adjustRightInd/>
      <w:snapToGrid/>
      <w:spacing w:before="600" w:beforeLines="0" w:beforeAutospacing="0" w:line="300" w:lineRule="auto"/>
      <w:ind w:rightChars="0"/>
      <w:jc w:val="left"/>
    </w:pPr>
    <w:rPr>
      <w:rFonts w:ascii="Arial" w:hAnsi="Arial" w:eastAsia="黑体"/>
      <w:b/>
      <w:spacing w:val="-4"/>
      <w:kern w:val="0"/>
      <w:sz w:val="24"/>
    </w:rPr>
  </w:style>
  <w:style w:type="paragraph" w:customStyle="1" w:styleId="417">
    <w:name w:val="正文格式"/>
    <w:basedOn w:val="1"/>
    <w:qFormat/>
    <w:uiPriority w:val="0"/>
    <w:pPr>
      <w:adjustRightInd/>
      <w:ind w:firstLine="420" w:firstLineChars="200"/>
    </w:pPr>
    <w:rPr>
      <w:rFonts w:ascii="宋体" w:hAnsi="宋体"/>
    </w:rPr>
  </w:style>
  <w:style w:type="paragraph" w:customStyle="1" w:styleId="418">
    <w:name w:val="列项——（一级）"/>
    <w:qFormat/>
    <w:uiPriority w:val="0"/>
    <w:pPr>
      <w:widowControl w:val="0"/>
      <w:numPr>
        <w:ilvl w:val="0"/>
        <w:numId w:val="17"/>
      </w:numPr>
      <w:adjustRightInd w:val="0"/>
      <w:spacing w:line="360" w:lineRule="atLeast"/>
      <w:jc w:val="both"/>
      <w:textAlignment w:val="baseline"/>
    </w:pPr>
    <w:rPr>
      <w:rFonts w:ascii="宋体" w:hAnsi="Times New Roman" w:eastAsia="宋体" w:cs="Times New Roman"/>
      <w:sz w:val="21"/>
      <w:lang w:val="en-US" w:eastAsia="zh-CN" w:bidi="ar-SA"/>
    </w:rPr>
  </w:style>
  <w:style w:type="paragraph" w:customStyle="1" w:styleId="419">
    <w:name w:val="标准文件_三级无标题"/>
    <w:qFormat/>
    <w:uiPriority w:val="0"/>
    <w:pPr>
      <w:numPr>
        <w:ilvl w:val="4"/>
        <w:numId w:val="5"/>
      </w:numPr>
      <w:ind w:left="0"/>
      <w:jc w:val="both"/>
    </w:pPr>
    <w:rPr>
      <w:rFonts w:hint="eastAsia" w:ascii="宋体" w:hAnsi="Times New Roman" w:eastAsia="宋体" w:cs="Times New Roman"/>
      <w:sz w:val="21"/>
      <w:lang w:val="en-US" w:eastAsia="zh-CN" w:bidi="ar-SA"/>
    </w:rPr>
  </w:style>
  <w:style w:type="paragraph" w:customStyle="1" w:styleId="420">
    <w:name w:val="样式 正文缩进正文缩进 Char正文（首行缩进两字） Char Char正文（首行缩进两字） Char1正文（首行缩进两..."/>
    <w:basedOn w:val="1"/>
    <w:qFormat/>
    <w:uiPriority w:val="0"/>
    <w:pPr>
      <w:topLinePunct w:val="0"/>
      <w:adjustRightInd/>
      <w:spacing w:before="31" w:beforeLines="10" w:beforeAutospacing="0" w:line="312" w:lineRule="auto"/>
      <w:ind w:left="800" w:hanging="400" w:firstLineChars="200"/>
    </w:pPr>
  </w:style>
  <w:style w:type="paragraph" w:customStyle="1" w:styleId="421">
    <w:name w:val="封面标准文稿编辑信息"/>
    <w:qFormat/>
    <w:uiPriority w:val="0"/>
    <w:pPr>
      <w:widowControl w:val="0"/>
      <w:adjustRightInd w:val="0"/>
      <w:spacing w:before="180" w:line="180" w:lineRule="exact"/>
      <w:jc w:val="center"/>
      <w:textAlignment w:val="baseline"/>
    </w:pPr>
    <w:rPr>
      <w:rFonts w:ascii="宋体" w:hAnsi="Times New Roman" w:eastAsia="宋体" w:cs="Times New Roman"/>
      <w:sz w:val="21"/>
      <w:lang w:val="en-US" w:eastAsia="zh-CN" w:bidi="ar-SA"/>
    </w:rPr>
  </w:style>
  <w:style w:type="paragraph" w:customStyle="1" w:styleId="422">
    <w:name w:val="工程建设公式标题"/>
    <w:basedOn w:val="200"/>
    <w:qFormat/>
    <w:uiPriority w:val="0"/>
    <w:pPr>
      <w:numPr>
        <w:ilvl w:val="6"/>
        <w:numId w:val="3"/>
      </w:numPr>
      <w:jc w:val="center"/>
      <w:outlineLvl w:val="6"/>
    </w:pPr>
  </w:style>
  <w:style w:type="paragraph" w:customStyle="1" w:styleId="423">
    <w:name w:val="样式 样式1 样式 编号 a + Times New Roman 段前: 0 行 行距: 多倍行距 1.15 字行 + 左侧.....1"/>
    <w:basedOn w:val="229"/>
    <w:qFormat/>
    <w:uiPriority w:val="0"/>
    <w:pPr>
      <w:ind w:left="400" w:leftChars="200"/>
    </w:pPr>
  </w:style>
  <w:style w:type="paragraph" w:customStyle="1" w:styleId="424">
    <w:name w:val="样式 标题 1 + 小四 段前: 0 磅 段后: 0 磅 行距: 1.5 倍行距"/>
    <w:basedOn w:val="4"/>
    <w:qFormat/>
    <w:uiPriority w:val="0"/>
    <w:pPr>
      <w:tabs>
        <w:tab w:val="left" w:pos="425"/>
      </w:tabs>
      <w:topLinePunct w:val="0"/>
      <w:adjustRightInd/>
      <w:spacing w:before="156" w:beforeLines="50" w:beforeAutospacing="0" w:after="156" w:afterLines="50" w:afterAutospacing="0" w:line="360" w:lineRule="auto"/>
      <w:ind w:left="425" w:hanging="425"/>
    </w:pPr>
    <w:rPr>
      <w:kern w:val="0"/>
      <w:sz w:val="24"/>
    </w:rPr>
  </w:style>
  <w:style w:type="paragraph" w:customStyle="1" w:styleId="425">
    <w:name w:val=" Char Char Char Char"/>
    <w:basedOn w:val="1"/>
    <w:qFormat/>
    <w:uiPriority w:val="0"/>
    <w:pPr>
      <w:topLinePunct w:val="0"/>
      <w:adjustRightInd/>
    </w:pPr>
  </w:style>
  <w:style w:type="paragraph" w:customStyle="1" w:styleId="426">
    <w:name w:val="样式 样式 正文缩进正文缩进 Char正文（首行缩进两字） Char Char正文（首行缩进两字） Char1正文（首行缩进两....2"/>
    <w:basedOn w:val="291"/>
    <w:qFormat/>
    <w:uiPriority w:val="0"/>
    <w:pPr>
      <w:spacing w:before="0" w:beforeLines="0" w:beforeAutospacing="0" w:line="276" w:lineRule="auto"/>
      <w:ind w:firstLine="420"/>
    </w:pPr>
  </w:style>
  <w:style w:type="paragraph" w:customStyle="1" w:styleId="427">
    <w:name w:val="样式 标题 3 + 宋体 段前: 0.1 行"/>
    <w:basedOn w:val="346"/>
    <w:qFormat/>
    <w:uiPriority w:val="0"/>
    <w:pPr>
      <w:tabs>
        <w:tab w:val="left" w:pos="700"/>
        <w:tab w:val="clear" w:pos="210"/>
        <w:tab w:val="clear" w:pos="630"/>
        <w:tab w:val="clear" w:pos="720"/>
      </w:tabs>
      <w:spacing w:before="156" w:beforeLines="50" w:beforeAutospacing="0" w:after="156" w:afterLines="50" w:afterAutospacing="0" w:line="240" w:lineRule="auto"/>
    </w:pPr>
    <w:rPr>
      <w:rFonts w:ascii="宋体" w:hAnsi="宋体" w:eastAsia="黑体"/>
      <w:b w:val="0"/>
    </w:rPr>
  </w:style>
  <w:style w:type="paragraph" w:customStyle="1" w:styleId="428">
    <w:name w:val="表格内容"/>
    <w:basedOn w:val="34"/>
    <w:qFormat/>
    <w:uiPriority w:val="0"/>
    <w:pPr>
      <w:numPr>
        <w:ilvl w:val="4"/>
        <w:numId w:val="18"/>
      </w:numPr>
      <w:suppressLineNumbers/>
      <w:tabs>
        <w:tab w:val="left" w:pos="2100"/>
      </w:tabs>
      <w:suppressAutoHyphens/>
      <w:topLinePunct w:val="0"/>
    </w:pPr>
    <w:rPr>
      <w:kern w:val="1"/>
      <w:lang w:eastAsia="ar-SA"/>
    </w:rPr>
  </w:style>
  <w:style w:type="paragraph" w:customStyle="1" w:styleId="429">
    <w:name w:val="标准书眉一"/>
    <w:qFormat/>
    <w:uiPriority w:val="0"/>
    <w:pPr>
      <w:widowControl w:val="0"/>
      <w:adjustRightInd w:val="0"/>
      <w:spacing w:line="360" w:lineRule="atLeast"/>
      <w:jc w:val="both"/>
      <w:textAlignment w:val="baseline"/>
    </w:pPr>
    <w:rPr>
      <w:rFonts w:ascii="Times New Roman" w:hAnsi="Times New Roman" w:eastAsia="宋体" w:cs="Times New Roman"/>
      <w:lang w:val="en-US" w:eastAsia="zh-CN" w:bidi="ar-SA"/>
    </w:rPr>
  </w:style>
  <w:style w:type="paragraph" w:customStyle="1" w:styleId="430">
    <w:name w:val="样式 样式 正文文本 2 + 段前: 0.1 行 + 悬挂缩进: 0.03 字符 段后: 1.2 磅 行距: 单倍行距"/>
    <w:basedOn w:val="279"/>
    <w:qFormat/>
    <w:uiPriority w:val="0"/>
    <w:pPr>
      <w:spacing w:before="10" w:beforeLines="0" w:beforeAutospacing="0" w:after="24" w:afterLines="0" w:afterAutospacing="0" w:line="240" w:lineRule="auto"/>
      <w:ind w:hanging="6"/>
      <w:jc w:val="center"/>
    </w:pPr>
  </w:style>
  <w:style w:type="paragraph" w:customStyle="1" w:styleId="431">
    <w:name w:val="样式 章标题 + 小四 段前: 0.5 行 段后: 0.5 行"/>
    <w:basedOn w:val="119"/>
    <w:qFormat/>
    <w:uiPriority w:val="0"/>
    <w:pPr>
      <w:widowControl/>
      <w:numPr>
        <w:ilvl w:val="1"/>
        <w:numId w:val="16"/>
      </w:numPr>
      <w:tabs>
        <w:tab w:val="left" w:pos="420"/>
      </w:tabs>
      <w:adjustRightInd/>
      <w:spacing w:before="120" w:beforeLines="0" w:after="120" w:afterLines="0" w:line="240" w:lineRule="auto"/>
      <w:textAlignment w:val="auto"/>
    </w:pPr>
    <w:rPr>
      <w:b/>
      <w:sz w:val="24"/>
    </w:rPr>
  </w:style>
  <w:style w:type="paragraph" w:customStyle="1" w:styleId="432">
    <w:name w:val="术语定义四级条标题"/>
    <w:basedOn w:val="215"/>
    <w:next w:val="120"/>
    <w:qFormat/>
    <w:uiPriority w:val="0"/>
    <w:pPr>
      <w:numPr>
        <w:ilvl w:val="3"/>
        <w:numId w:val="4"/>
      </w:numPr>
      <w:tabs>
        <w:tab w:val="clear" w:pos="1080"/>
      </w:tabs>
    </w:pPr>
  </w:style>
  <w:style w:type="paragraph" w:customStyle="1" w:styleId="433">
    <w:name w:val="标准标志"/>
    <w:next w:val="1"/>
    <w:qFormat/>
    <w:uiPriority w:val="0"/>
    <w:pPr>
      <w:widowControl w:val="0"/>
      <w:shd w:val="solid" w:color="FFFFFF" w:fill="FFFFFF"/>
      <w:adjustRightInd w:val="0"/>
      <w:spacing w:line="0" w:lineRule="atLeast"/>
      <w:jc w:val="right"/>
      <w:textAlignment w:val="baseline"/>
    </w:pPr>
    <w:rPr>
      <w:rFonts w:ascii="Times New Roman" w:hAnsi="Times New Roman" w:eastAsia="宋体" w:cs="Times New Roman"/>
      <w:b/>
      <w:w w:val="130"/>
      <w:sz w:val="96"/>
      <w:lang w:val="en-US" w:eastAsia="zh-CN" w:bidi="ar-SA"/>
    </w:rPr>
  </w:style>
  <w:style w:type="paragraph" w:customStyle="1" w:styleId="434">
    <w:name w:val=" Char Char Char1 Char"/>
    <w:basedOn w:val="1"/>
    <w:qFormat/>
    <w:uiPriority w:val="0"/>
    <w:pPr>
      <w:topLinePunct w:val="0"/>
      <w:adjustRightInd/>
      <w:spacing w:line="240" w:lineRule="atLeast"/>
      <w:ind w:left="420" w:firstLine="420"/>
    </w:pPr>
    <w:rPr>
      <w:kern w:val="0"/>
    </w:rPr>
  </w:style>
  <w:style w:type="paragraph" w:customStyle="1" w:styleId="435">
    <w:name w:val="Char Char1 Char Char Char"/>
    <w:basedOn w:val="29"/>
    <w:qFormat/>
    <w:uiPriority w:val="0"/>
    <w:pPr>
      <w:topLinePunct w:val="0"/>
      <w:adjustRightInd/>
    </w:pPr>
  </w:style>
  <w:style w:type="paragraph" w:customStyle="1" w:styleId="436">
    <w:name w:val="批注框文本 Char Char"/>
    <w:basedOn w:val="1"/>
    <w:qFormat/>
    <w:uiPriority w:val="0"/>
    <w:pPr>
      <w:topLinePunct w:val="0"/>
      <w:adjustRightInd/>
      <w:spacing w:line="300" w:lineRule="auto"/>
    </w:pPr>
    <w:rPr>
      <w:rFonts w:ascii="Arial" w:hAnsi="Arial"/>
      <w:sz w:val="18"/>
    </w:rPr>
  </w:style>
  <w:style w:type="paragraph" w:customStyle="1" w:styleId="437">
    <w:name w:val=" Char"/>
    <w:basedOn w:val="1"/>
    <w:qFormat/>
    <w:uiPriority w:val="0"/>
    <w:pPr>
      <w:topLinePunct w:val="0"/>
      <w:adjustRightInd/>
      <w:spacing w:line="360" w:lineRule="auto"/>
      <w:ind w:firstLine="200" w:firstLineChars="200"/>
    </w:pPr>
    <w:rPr>
      <w:rFonts w:ascii="宋体" w:hAnsi="宋体"/>
      <w:sz w:val="24"/>
    </w:rPr>
  </w:style>
  <w:style w:type="paragraph" w:customStyle="1" w:styleId="438">
    <w:name w:val="样式 正文（首行缩进两字） Char + 首行缩进:  2 字符 段前: 0.1 行"/>
    <w:basedOn w:val="128"/>
    <w:qFormat/>
    <w:uiPriority w:val="0"/>
    <w:pPr>
      <w:snapToGrid w:val="0"/>
      <w:spacing w:after="31" w:afterLines="10" w:afterAutospacing="0" w:line="300" w:lineRule="auto"/>
      <w:ind w:firstLine="200"/>
    </w:pPr>
  </w:style>
  <w:style w:type="paragraph" w:customStyle="1" w:styleId="439">
    <w:name w:val="图说"/>
    <w:basedOn w:val="1"/>
    <w:qFormat/>
    <w:uiPriority w:val="0"/>
    <w:pPr>
      <w:adjustRightInd/>
      <w:spacing w:before="60" w:beforeLines="0" w:beforeAutospacing="0" w:after="160" w:afterLines="0" w:afterAutospacing="0"/>
      <w:jc w:val="center"/>
    </w:pPr>
    <w:rPr>
      <w:sz w:val="18"/>
    </w:rPr>
  </w:style>
  <w:style w:type="paragraph" w:customStyle="1" w:styleId="440">
    <w:name w:val="样式 样式1 样式 编号 a + Times New Roman 段前: 0 行 行距: 多倍行距 1.15 字行 + 左..."/>
    <w:basedOn w:val="335"/>
    <w:qFormat/>
    <w:uiPriority w:val="0"/>
  </w:style>
  <w:style w:type="paragraph" w:customStyle="1" w:styleId="441">
    <w:name w:val="附录表标题续表"/>
    <w:basedOn w:val="273"/>
    <w:next w:val="120"/>
    <w:qFormat/>
    <w:uiPriority w:val="0"/>
    <w:pPr>
      <w:widowControl/>
      <w:numPr>
        <w:ilvl w:val="0"/>
        <w:numId w:val="19"/>
      </w:numPr>
      <w:tabs>
        <w:tab w:val="left" w:pos="210"/>
        <w:tab w:val="left" w:pos="420"/>
      </w:tabs>
      <w:adjustRightInd/>
      <w:spacing w:line="360" w:lineRule="auto"/>
    </w:pPr>
    <w:rPr>
      <w:rFonts w:ascii="宋体" w:hAnsi="宋体" w:eastAsia="宋体"/>
    </w:rPr>
  </w:style>
  <w:style w:type="paragraph" w:customStyle="1" w:styleId="442">
    <w:name w:val="样式 正文缩进正文缩进 Char正文（首行缩进两字） Char Char正文（首行缩进两字） Char1正文（首行缩进两...3"/>
    <w:basedOn w:val="1"/>
    <w:qFormat/>
    <w:uiPriority w:val="0"/>
    <w:pPr>
      <w:topLinePunct w:val="0"/>
      <w:adjustRightInd/>
      <w:spacing w:before="31" w:beforeLines="10" w:beforeAutospacing="0" w:line="300" w:lineRule="auto"/>
      <w:ind w:firstLine="200" w:firstLineChars="200"/>
    </w:pPr>
  </w:style>
  <w:style w:type="paragraph" w:customStyle="1" w:styleId="443">
    <w:name w:val="样式 标题 3 + 黑色 段前: 0.1 行"/>
    <w:basedOn w:val="346"/>
    <w:qFormat/>
    <w:uiPriority w:val="0"/>
    <w:pPr>
      <w:tabs>
        <w:tab w:val="left" w:pos="700"/>
        <w:tab w:val="clear" w:pos="210"/>
        <w:tab w:val="clear" w:pos="630"/>
        <w:tab w:val="clear" w:pos="720"/>
      </w:tabs>
      <w:spacing w:before="156" w:beforeLines="50" w:beforeAutospacing="0" w:after="156" w:afterLines="50" w:afterAutospacing="0" w:line="240" w:lineRule="auto"/>
    </w:pPr>
    <w:rPr>
      <w:rFonts w:eastAsia="黑体"/>
      <w:b w:val="0"/>
      <w:color w:val="000000"/>
    </w:rPr>
  </w:style>
  <w:style w:type="paragraph" w:customStyle="1" w:styleId="444">
    <w:name w:val="四级无标题条"/>
    <w:basedOn w:val="1"/>
    <w:qFormat/>
    <w:uiPriority w:val="0"/>
    <w:pPr>
      <w:numPr>
        <w:ilvl w:val="5"/>
        <w:numId w:val="6"/>
      </w:numPr>
      <w:topLinePunct w:val="0"/>
      <w:adjustRightInd/>
    </w:pPr>
    <w:rPr>
      <w:rFonts w:eastAsia="黑体"/>
      <w:b/>
    </w:rPr>
  </w:style>
  <w:style w:type="paragraph" w:customStyle="1" w:styleId="445">
    <w:name w:val="列项——"/>
    <w:qFormat/>
    <w:uiPriority w:val="0"/>
    <w:pPr>
      <w:widowControl w:val="0"/>
      <w:numPr>
        <w:ilvl w:val="0"/>
        <w:numId w:val="20"/>
      </w:numPr>
      <w:tabs>
        <w:tab w:val="left" w:pos="854"/>
        <w:tab w:val="clear" w:pos="1140"/>
      </w:tabs>
      <w:ind w:leftChars="200" w:hangingChars="200"/>
      <w:jc w:val="both"/>
    </w:pPr>
    <w:rPr>
      <w:rFonts w:ascii="宋体" w:hAnsi="Times New Roman" w:eastAsia="宋体" w:cs="Times New Roman"/>
      <w:sz w:val="21"/>
      <w:lang w:val="en-US" w:eastAsia="zh-CN" w:bidi="ar-SA"/>
    </w:rPr>
  </w:style>
  <w:style w:type="paragraph" w:customStyle="1" w:styleId="446">
    <w:name w:val="样式3"/>
    <w:basedOn w:val="1"/>
    <w:qFormat/>
    <w:uiPriority w:val="0"/>
    <w:pPr>
      <w:adjustRightInd/>
      <w:ind w:firstLine="420"/>
    </w:pPr>
    <w:rPr>
      <w:rFonts w:eastAsia="方正仿宋_GBK"/>
    </w:rPr>
  </w:style>
  <w:style w:type="paragraph" w:customStyle="1" w:styleId="447">
    <w:name w:val="样式 样式 标题 2 + 段前: 0.5 行 段后: 0.5 行 + 首行缩进:  2 字符 段前: 0.5 行 段后: 0..."/>
    <w:basedOn w:val="1"/>
    <w:qFormat/>
    <w:uiPriority w:val="0"/>
    <w:pPr>
      <w:keepNext/>
      <w:keepLines/>
      <w:topLinePunct w:val="0"/>
      <w:spacing w:before="156" w:beforeLines="50" w:beforeAutospacing="0" w:after="156" w:afterLines="50" w:afterAutospacing="0"/>
      <w:jc w:val="left"/>
      <w:textAlignment w:val="baseline"/>
      <w:outlineLvl w:val="1"/>
    </w:pPr>
    <w:rPr>
      <w:rFonts w:eastAsia="黑体"/>
      <w:kern w:val="0"/>
    </w:rPr>
  </w:style>
  <w:style w:type="paragraph" w:customStyle="1" w:styleId="448">
    <w:name w:val="字母编号列项（一级）"/>
    <w:qFormat/>
    <w:uiPriority w:val="0"/>
    <w:pPr>
      <w:widowControl w:val="0"/>
      <w:adjustRightInd w:val="0"/>
      <w:spacing w:line="360" w:lineRule="atLeast"/>
      <w:ind w:left="840" w:leftChars="200" w:hanging="420" w:hangingChars="200"/>
      <w:jc w:val="both"/>
      <w:textAlignment w:val="baseline"/>
    </w:pPr>
    <w:rPr>
      <w:rFonts w:ascii="宋体" w:hAnsi="Times New Roman" w:eastAsia="宋体" w:cs="Times New Roman"/>
      <w:sz w:val="21"/>
      <w:lang w:val="en-US" w:eastAsia="zh-CN" w:bidi="ar-SA"/>
    </w:rPr>
  </w:style>
  <w:style w:type="paragraph" w:customStyle="1" w:styleId="449">
    <w:name w:val="封面标准英文名称"/>
    <w:qFormat/>
    <w:uiPriority w:val="0"/>
    <w:pPr>
      <w:widowControl w:val="0"/>
      <w:adjustRightInd w:val="0"/>
      <w:spacing w:before="370" w:line="400" w:lineRule="exact"/>
      <w:jc w:val="center"/>
      <w:textAlignment w:val="baseline"/>
    </w:pPr>
    <w:rPr>
      <w:rFonts w:ascii="Times New Roman" w:hAnsi="Times New Roman" w:eastAsia="宋体" w:cs="Times New Roman"/>
      <w:sz w:val="28"/>
      <w:lang w:val="en-US" w:eastAsia="zh-CN" w:bidi="ar-SA"/>
    </w:rPr>
  </w:style>
  <w:style w:type="paragraph" w:customStyle="1" w:styleId="450">
    <w:name w:val=" Char1"/>
    <w:basedOn w:val="1"/>
    <w:qFormat/>
    <w:uiPriority w:val="0"/>
    <w:pPr>
      <w:topLinePunct w:val="0"/>
      <w:adjustRightInd/>
    </w:pPr>
    <w:rPr>
      <w:rFonts w:ascii="Tahoma" w:hAnsi="Tahoma"/>
      <w:sz w:val="24"/>
    </w:rPr>
  </w:style>
  <w:style w:type="paragraph" w:customStyle="1" w:styleId="451">
    <w:name w:val=" Char Char Char"/>
    <w:basedOn w:val="1"/>
    <w:qFormat/>
    <w:uiPriority w:val="0"/>
    <w:pPr>
      <w:topLinePunct w:val="0"/>
      <w:adjustRightInd/>
    </w:pPr>
    <w:rPr>
      <w:rFonts w:ascii="Tahoma" w:hAnsi="Tahoma"/>
      <w:sz w:val="24"/>
    </w:rPr>
  </w:style>
  <w:style w:type="paragraph" w:customStyle="1" w:styleId="452">
    <w:name w:val="_图表编号"/>
    <w:basedOn w:val="26"/>
    <w:next w:val="149"/>
    <w:qFormat/>
    <w:uiPriority w:val="0"/>
    <w:pPr>
      <w:snapToGrid w:val="0"/>
      <w:spacing w:before="46" w:beforeLines="15" w:beforeAutospacing="0" w:after="46" w:afterLines="15" w:afterAutospacing="0" w:line="240" w:lineRule="auto"/>
    </w:pPr>
    <w:rPr>
      <w:sz w:val="21"/>
    </w:rPr>
  </w:style>
  <w:style w:type="paragraph" w:customStyle="1" w:styleId="453">
    <w:name w:val="样式 段前: 0.1 行 左  4 字符"/>
    <w:basedOn w:val="1"/>
    <w:qFormat/>
    <w:uiPriority w:val="0"/>
    <w:pPr>
      <w:topLinePunct w:val="0"/>
      <w:adjustRightInd/>
      <w:spacing w:before="31" w:beforeLines="10" w:beforeAutospacing="0" w:line="300" w:lineRule="auto"/>
      <w:ind w:left="400" w:leftChars="400"/>
    </w:pPr>
  </w:style>
  <w:style w:type="paragraph" w:customStyle="1" w:styleId="454">
    <w:name w:val="部分题目"/>
    <w:basedOn w:val="217"/>
    <w:next w:val="304"/>
    <w:qFormat/>
    <w:uiPriority w:val="0"/>
    <w:pPr>
      <w:spacing w:before="660" w:beforeLines="0" w:beforeAutospacing="0" w:after="400" w:afterLines="0" w:afterAutospacing="0" w:line="540" w:lineRule="atLeast"/>
      <w:ind w:right="2160"/>
    </w:pPr>
    <w:rPr>
      <w:rFonts w:ascii="Times New Roman" w:hAnsi="Times New Roman"/>
      <w:spacing w:val="-40"/>
      <w:sz w:val="60"/>
    </w:rPr>
  </w:style>
  <w:style w:type="paragraph" w:customStyle="1" w:styleId="455">
    <w:name w:val="1"/>
    <w:basedOn w:val="1"/>
    <w:next w:val="1"/>
    <w:qFormat/>
    <w:uiPriority w:val="0"/>
    <w:rPr>
      <w:rFonts w:ascii="Courier New" w:hAnsi="Courier New"/>
      <w:sz w:val="20"/>
    </w:rPr>
  </w:style>
  <w:style w:type="paragraph" w:customStyle="1" w:styleId="456">
    <w:name w:val="样式 样式 正文（首行缩进两字） Char + 首行缩进:  2 字符 段前: 0.1 行 + 行距: 多倍行距 1.25 字行"/>
    <w:basedOn w:val="438"/>
    <w:qFormat/>
    <w:uiPriority w:val="0"/>
  </w:style>
  <w:style w:type="paragraph" w:customStyle="1" w:styleId="457">
    <w:name w:val="CM38"/>
    <w:basedOn w:val="197"/>
    <w:next w:val="197"/>
    <w:qFormat/>
    <w:uiPriority w:val="0"/>
    <w:pPr>
      <w:spacing w:line="320" w:lineRule="atLeast"/>
    </w:pPr>
    <w:rPr>
      <w:rFonts w:ascii="Times New Roman"/>
      <w:color w:val="auto"/>
    </w:rPr>
  </w:style>
  <w:style w:type="paragraph" w:customStyle="1" w:styleId="458">
    <w:name w:val="样式1 正文文本 小五 + Times New Roman 段前: 0 行 行距: 多倍行距 1.15 字行"/>
    <w:basedOn w:val="65"/>
    <w:qFormat/>
    <w:uiPriority w:val="0"/>
    <w:pPr>
      <w:spacing w:after="62" w:afterLines="20" w:afterAutospacing="0" w:line="276" w:lineRule="auto"/>
      <w:jc w:val="center"/>
    </w:pPr>
    <w:rPr>
      <w:rFonts w:ascii="Times New Roman" w:hAnsi="Times New Roman"/>
      <w:sz w:val="18"/>
    </w:rPr>
  </w:style>
  <w:style w:type="paragraph" w:customStyle="1" w:styleId="459">
    <w:name w:val="样式 段前: 0.1 行2"/>
    <w:basedOn w:val="1"/>
    <w:qFormat/>
    <w:uiPriority w:val="0"/>
    <w:pPr>
      <w:topLinePunct w:val="0"/>
      <w:adjustRightInd/>
      <w:spacing w:line="276" w:lineRule="auto"/>
    </w:pPr>
  </w:style>
  <w:style w:type="paragraph" w:customStyle="1" w:styleId="460">
    <w:name w:val="标题 3 + 小四 段前: 0 磅 段后: 0 磅 行距: 1.5 倍行距"/>
    <w:basedOn w:val="5"/>
    <w:next w:val="5"/>
    <w:qFormat/>
    <w:uiPriority w:val="0"/>
    <w:pPr>
      <w:topLinePunct w:val="0"/>
      <w:adjustRightInd/>
      <w:spacing w:before="0" w:beforeLines="0" w:beforeAutospacing="0" w:after="0" w:afterLines="0" w:afterAutospacing="0" w:line="360" w:lineRule="auto"/>
    </w:pPr>
    <w:rPr>
      <w:sz w:val="24"/>
    </w:rPr>
  </w:style>
  <w:style w:type="paragraph" w:customStyle="1" w:styleId="461">
    <w:name w:val="引言二级条标题"/>
    <w:basedOn w:val="277"/>
    <w:next w:val="120"/>
    <w:qFormat/>
    <w:uiPriority w:val="0"/>
    <w:pPr>
      <w:numPr>
        <w:ilvl w:val="1"/>
        <w:numId w:val="18"/>
      </w:numPr>
      <w:tabs>
        <w:tab w:val="clear" w:pos="720"/>
      </w:tabs>
    </w:pPr>
  </w:style>
  <w:style w:type="paragraph" w:customStyle="1" w:styleId="462">
    <w:name w:val=" Char Char Char Char Char Char"/>
    <w:basedOn w:val="1"/>
    <w:qFormat/>
    <w:uiPriority w:val="0"/>
    <w:pPr>
      <w:topLinePunct w:val="0"/>
      <w:adjustRightInd/>
    </w:pPr>
    <w:rPr>
      <w:rFonts w:ascii="Tahoma" w:hAnsi="Tahoma"/>
      <w:sz w:val="24"/>
    </w:rPr>
  </w:style>
  <w:style w:type="paragraph" w:customStyle="1" w:styleId="463">
    <w:name w:val="pf0"/>
    <w:basedOn w:val="1"/>
    <w:qFormat/>
    <w:uiPriority w:val="0"/>
    <w:pPr>
      <w:widowControl/>
      <w:topLinePunct w:val="0"/>
      <w:adjustRightInd/>
      <w:spacing w:before="100" w:beforeAutospacing="1" w:after="100" w:afterAutospacing="1"/>
      <w:jc w:val="left"/>
    </w:pPr>
    <w:rPr>
      <w:rFonts w:ascii="宋体" w:hAnsi="宋体" w:cs="宋体"/>
      <w:kern w:val="0"/>
      <w:sz w:val="24"/>
      <w:szCs w:val="24"/>
    </w:rPr>
  </w:style>
  <w:style w:type="paragraph" w:customStyle="1" w:styleId="464">
    <w:name w:val="封面标准文稿类别"/>
    <w:qFormat/>
    <w:uiPriority w:val="0"/>
    <w:pPr>
      <w:widowControl w:val="0"/>
      <w:adjustRightInd w:val="0"/>
      <w:spacing w:before="440" w:line="400" w:lineRule="exact"/>
      <w:jc w:val="center"/>
      <w:textAlignment w:val="baseline"/>
    </w:pPr>
    <w:rPr>
      <w:rFonts w:ascii="宋体" w:hAnsi="Times New Roman" w:eastAsia="宋体" w:cs="Times New Roman"/>
      <w:sz w:val="24"/>
      <w:lang w:val="en-US" w:eastAsia="zh-CN" w:bidi="ar-SA"/>
    </w:rPr>
  </w:style>
  <w:style w:type="paragraph" w:customStyle="1" w:styleId="465">
    <w:name w:val="样式 样式 样式 首行缩进:  0.77 厘米 段前: 0.1 行 + 首行缩进:  2 字符 段前: 0.1 行 + 首行缩进..."/>
    <w:basedOn w:val="350"/>
    <w:qFormat/>
    <w:uiPriority w:val="0"/>
    <w:pPr>
      <w:ind w:firstLine="420"/>
    </w:pPr>
  </w:style>
  <w:style w:type="paragraph" w:customStyle="1" w:styleId="466">
    <w:name w:val="样式1 首行缩进:  0.74 厘米 段前: 0.1 行"/>
    <w:basedOn w:val="128"/>
    <w:next w:val="128"/>
    <w:qFormat/>
    <w:uiPriority w:val="0"/>
    <w:pPr>
      <w:tabs>
        <w:tab w:val="left" w:pos="820"/>
      </w:tabs>
      <w:snapToGrid w:val="0"/>
      <w:spacing w:after="31" w:afterLines="10" w:afterAutospacing="0"/>
      <w:ind w:left="820" w:hanging="420" w:firstLineChars="0"/>
    </w:pPr>
    <w:rPr>
      <w:kern w:val="0"/>
    </w:rPr>
  </w:style>
  <w:style w:type="paragraph" w:customStyle="1" w:styleId="467">
    <w:name w:val="标准文件_章标题"/>
    <w:next w:val="1"/>
    <w:qFormat/>
    <w:uiPriority w:val="0"/>
    <w:pPr>
      <w:spacing w:before="100" w:beforeLines="100" w:after="100" w:afterLines="100"/>
      <w:jc w:val="both"/>
      <w:outlineLvl w:val="0"/>
    </w:pPr>
    <w:rPr>
      <w:rFonts w:ascii="黑体" w:hAnsi="Times New Roman" w:eastAsia="黑体" w:cs="Times New Roman"/>
      <w:sz w:val="21"/>
      <w:lang w:val="en-US" w:eastAsia="zh-CN" w:bidi="ar-SA"/>
    </w:rPr>
  </w:style>
  <w:style w:type="paragraph" w:customStyle="1" w:styleId="468">
    <w:name w:val="无标题条"/>
    <w:next w:val="120"/>
    <w:qFormat/>
    <w:uiPriority w:val="0"/>
    <w:pPr>
      <w:jc w:val="both"/>
    </w:pPr>
    <w:rPr>
      <w:rFonts w:ascii="Times New Roman" w:hAnsi="Times New Roman" w:eastAsia="宋体" w:cs="Times New Roman"/>
      <w:sz w:val="21"/>
      <w:lang w:val="en-US" w:eastAsia="zh-CN" w:bidi="ar-SA"/>
    </w:rPr>
  </w:style>
  <w:style w:type="paragraph" w:customStyle="1" w:styleId="469">
    <w:name w:val="样式 样式 样式 悬挂缩进: 9 字符 段前: 0.1 行 + 左侧:  3.93 字符 悬挂缩进: 8 字符 段前: 0.1 ..."/>
    <w:basedOn w:val="128"/>
    <w:next w:val="1"/>
    <w:qFormat/>
    <w:uiPriority w:val="0"/>
    <w:pPr>
      <w:tabs>
        <w:tab w:val="left" w:pos="0"/>
      </w:tabs>
      <w:snapToGrid w:val="0"/>
      <w:spacing w:before="24" w:beforeLines="0" w:beforeAutospacing="0" w:after="31" w:afterLines="10" w:afterAutospacing="0"/>
      <w:ind w:left="800" w:hanging="400" w:firstLineChars="0"/>
    </w:pPr>
  </w:style>
  <w:style w:type="paragraph" w:customStyle="1" w:styleId="470">
    <w:name w:val="连续正文文字"/>
    <w:basedOn w:val="34"/>
    <w:qFormat/>
    <w:uiPriority w:val="0"/>
    <w:pPr>
      <w:keepNext/>
      <w:widowControl/>
      <w:topLinePunct w:val="0"/>
      <w:spacing w:before="46" w:beforeLines="15" w:beforeAutospacing="0" w:after="31" w:afterLines="10" w:afterAutospacing="0" w:line="360" w:lineRule="atLeast"/>
      <w:ind w:left="357" w:firstLine="425"/>
      <w:jc w:val="center"/>
    </w:pPr>
    <w:rPr>
      <w:rFonts w:ascii="Arial" w:hAnsi="Arial"/>
      <w:kern w:val="0"/>
      <w:sz w:val="18"/>
    </w:rPr>
  </w:style>
  <w:style w:type="paragraph" w:customStyle="1" w:styleId="471">
    <w:name w:val="编号列项（三级）"/>
    <w:qFormat/>
    <w:uiPriority w:val="0"/>
    <w:pPr>
      <w:widowControl w:val="0"/>
      <w:adjustRightInd w:val="0"/>
      <w:spacing w:line="360" w:lineRule="atLeast"/>
      <w:ind w:left="800" w:leftChars="600" w:hanging="200" w:hangingChars="200"/>
      <w:jc w:val="both"/>
      <w:textAlignment w:val="baseline"/>
    </w:pPr>
    <w:rPr>
      <w:rFonts w:ascii="宋体" w:hAnsi="Times New Roman" w:eastAsia="宋体" w:cs="Times New Roman"/>
      <w:sz w:val="21"/>
      <w:lang w:val="en-US" w:eastAsia="zh-CN" w:bidi="ar-SA"/>
    </w:rPr>
  </w:style>
  <w:style w:type="paragraph" w:customStyle="1" w:styleId="472">
    <w:name w:val="前言标题"/>
    <w:next w:val="1"/>
    <w:qFormat/>
    <w:uiPriority w:val="0"/>
    <w:pPr>
      <w:shd w:val="clear" w:color="FFFFFF" w:fill="FFFFFF"/>
      <w:spacing w:before="540" w:after="600"/>
      <w:jc w:val="center"/>
      <w:outlineLvl w:val="0"/>
    </w:pPr>
    <w:rPr>
      <w:rFonts w:ascii="黑体" w:hAnsi="Times New Roman" w:eastAsia="黑体" w:cs="Times New Roman"/>
      <w:sz w:val="32"/>
      <w:lang w:val="en-US" w:eastAsia="zh-CN" w:bidi="ar-SA"/>
    </w:rPr>
  </w:style>
  <w:style w:type="table" w:customStyle="1" w:styleId="473">
    <w:name w:val="Table Normal"/>
    <w:unhideWhenUsed/>
    <w:qFormat/>
    <w:uiPriority w:val="0"/>
    <w:rPr>
      <w:lang w:val="en-US" w:eastAsia="zh-CN" w:bidi="ar-SA"/>
    </w:rPr>
    <w:tblPr>
      <w:tblCellMar>
        <w:top w:w="0" w:type="dxa"/>
        <w:left w:w="0" w:type="dxa"/>
        <w:bottom w:w="0" w:type="dxa"/>
        <w:right w:w="0" w:type="dxa"/>
      </w:tblCellMar>
    </w:tblPr>
  </w:style>
  <w:style w:type="paragraph" w:customStyle="1" w:styleId="474">
    <w:name w:val="行标正文"/>
    <w:basedOn w:val="1"/>
    <w:link w:val="475"/>
    <w:qFormat/>
    <w:uiPriority w:val="0"/>
    <w:pPr>
      <w:spacing w:line="360" w:lineRule="auto"/>
    </w:pPr>
    <w:rPr>
      <w:rFonts w:hint="default" w:ascii="Times New Roman" w:hAnsi="Times New Roman" w:eastAsia="宋体" w:cs="Times New Roman"/>
      <w:bCs/>
      <w:color w:val="000000"/>
      <w:spacing w:val="-2"/>
      <w:kern w:val="11"/>
      <w:szCs w:val="21"/>
    </w:rPr>
  </w:style>
  <w:style w:type="character" w:customStyle="1" w:styleId="475">
    <w:name w:val="行标正文 Char"/>
    <w:link w:val="474"/>
    <w:qFormat/>
    <w:uiPriority w:val="0"/>
    <w:rPr>
      <w:rFonts w:hint="default" w:ascii="Times New Roman" w:hAnsi="Times New Roman" w:eastAsia="宋体" w:cs="Times New Roman"/>
      <w:bCs/>
      <w:color w:val="000000"/>
      <w:spacing w:val="-2"/>
      <w:kern w:val="11"/>
      <w:szCs w:val="21"/>
    </w:rPr>
  </w:style>
</w:styles>
</file>

<file path=word/_rels/document.xml.rels><?xml version="1.0" encoding="UTF-8" standalone="yes"?>
<Relationships xmlns="http://schemas.openxmlformats.org/package/2006/relationships"><Relationship Id="rId9" Type="http://schemas.openxmlformats.org/officeDocument/2006/relationships/header" Target="head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8" Type="http://schemas.openxmlformats.org/officeDocument/2006/relationships/fontTable" Target="fontTable.xml"/><Relationship Id="rId37" Type="http://schemas.openxmlformats.org/officeDocument/2006/relationships/numbering" Target="numbering.xml"/><Relationship Id="rId36" Type="http://schemas.openxmlformats.org/officeDocument/2006/relationships/customXml" Target="../customXml/item1.xml"/><Relationship Id="rId35" Type="http://schemas.openxmlformats.org/officeDocument/2006/relationships/image" Target="media/image11.png"/><Relationship Id="rId34" Type="http://schemas.openxmlformats.org/officeDocument/2006/relationships/image" Target="media/image10.wmf"/><Relationship Id="rId33" Type="http://schemas.openxmlformats.org/officeDocument/2006/relationships/oleObject" Target="embeddings/oleObject10.bin"/><Relationship Id="rId32" Type="http://schemas.openxmlformats.org/officeDocument/2006/relationships/image" Target="media/image9.wmf"/><Relationship Id="rId31" Type="http://schemas.openxmlformats.org/officeDocument/2006/relationships/oleObject" Target="embeddings/oleObject9.bin"/><Relationship Id="rId30" Type="http://schemas.openxmlformats.org/officeDocument/2006/relationships/image" Target="media/image8.wmf"/><Relationship Id="rId3" Type="http://schemas.openxmlformats.org/officeDocument/2006/relationships/header" Target="header1.xml"/><Relationship Id="rId29" Type="http://schemas.openxmlformats.org/officeDocument/2006/relationships/oleObject" Target="embeddings/oleObject8.bin"/><Relationship Id="rId28" Type="http://schemas.openxmlformats.org/officeDocument/2006/relationships/image" Target="media/image7.wmf"/><Relationship Id="rId27" Type="http://schemas.openxmlformats.org/officeDocument/2006/relationships/oleObject" Target="embeddings/oleObject7.bin"/><Relationship Id="rId26" Type="http://schemas.openxmlformats.org/officeDocument/2006/relationships/image" Target="media/image6.wmf"/><Relationship Id="rId25" Type="http://schemas.openxmlformats.org/officeDocument/2006/relationships/oleObject" Target="embeddings/oleObject6.bin"/><Relationship Id="rId24" Type="http://schemas.openxmlformats.org/officeDocument/2006/relationships/image" Target="media/image5.wmf"/><Relationship Id="rId23" Type="http://schemas.openxmlformats.org/officeDocument/2006/relationships/oleObject" Target="embeddings/oleObject5.bin"/><Relationship Id="rId22" Type="http://schemas.openxmlformats.org/officeDocument/2006/relationships/image" Target="media/image4.wmf"/><Relationship Id="rId21" Type="http://schemas.openxmlformats.org/officeDocument/2006/relationships/oleObject" Target="embeddings/oleObject4.bin"/><Relationship Id="rId20" Type="http://schemas.openxmlformats.org/officeDocument/2006/relationships/image" Target="media/image3.wmf"/><Relationship Id="rId2" Type="http://schemas.openxmlformats.org/officeDocument/2006/relationships/settings" Target="settings.xml"/><Relationship Id="rId19" Type="http://schemas.openxmlformats.org/officeDocument/2006/relationships/oleObject" Target="embeddings/oleObject3.bin"/><Relationship Id="rId18" Type="http://schemas.openxmlformats.org/officeDocument/2006/relationships/image" Target="media/image2.wmf"/><Relationship Id="rId17" Type="http://schemas.openxmlformats.org/officeDocument/2006/relationships/oleObject" Target="embeddings/oleObject2.bin"/><Relationship Id="rId16" Type="http://schemas.openxmlformats.org/officeDocument/2006/relationships/image" Target="media/image1.wmf"/><Relationship Id="rId15" Type="http://schemas.openxmlformats.org/officeDocument/2006/relationships/oleObject" Target="embeddings/oleObject1.bin"/><Relationship Id="rId14" Type="http://schemas.openxmlformats.org/officeDocument/2006/relationships/theme" Target="theme/theme1.xml"/><Relationship Id="rId13" Type="http://schemas.openxmlformats.org/officeDocument/2006/relationships/footer" Target="footer6.xml"/><Relationship Id="rId12" Type="http://schemas.openxmlformats.org/officeDocument/2006/relationships/footer" Target="footer5.xml"/><Relationship Id="rId11" Type="http://schemas.openxmlformats.org/officeDocument/2006/relationships/footer" Target="footer4.xml"/><Relationship Id="rId10" Type="http://schemas.openxmlformats.org/officeDocument/2006/relationships/header" Target="header5.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12</Pages>
  <Words>6354</Words>
  <Characters>7034</Characters>
  <Lines>59</Lines>
  <Paragraphs>16</Paragraphs>
  <TotalTime>4</TotalTime>
  <ScaleCrop>false</ScaleCrop>
  <LinksUpToDate>false</LinksUpToDate>
  <CharactersWithSpaces>7525</CharactersWithSpaces>
  <Application>WPS Office_11.8.2.12009_F1E327BC-269C-435d-A152-05C5408002CA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2025-05-24T14:53:00Z</dcterms:created>
  <dc:creator>admin---</dc:creator>
  <cp:lastModifiedBy>gaoyaoyu</cp:lastModifiedBy>
  <cp:lastPrinted>2025-07-31T16:35:00Z</cp:lastPrinted>
  <dcterms:modified xsi:type="dcterms:W3CDTF">2025-08-05T11:13:57Z</dcterms:modified>
  <cp:revision>66</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2052-11.8.2.12009</vt:lpwstr>
  </property>
  <property fmtid="{D5CDD505-2E9C-101B-9397-08002B2CF9AE}" pid="3" name="ICV">
    <vt:lpwstr>385B18D99FE80278ED7691682B10E260</vt:lpwstr>
  </property>
  <property fmtid="{D5CDD505-2E9C-101B-9397-08002B2CF9AE}" pid="4" name="KSOTemplateDocerSaveRecord">
    <vt:lpwstr>eyJoZGlkIjoiM2NiMzliZTdiMGVlM2Q3NTI5NjZiZDVmMzliMDU0MmEiLCJ1c2VySWQiOiI4NDYyMTIyMDkifQ==</vt:lpwstr>
  </property>
</Properties>
</file>