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031CA">
      <w:pPr>
        <w:spacing w:line="580" w:lineRule="exact"/>
        <w:rPr>
          <w:rFonts w:ascii="Times New Roman" w:hAnsi="Times New Roman" w:eastAsia="方正小标宋简体" w:cs="Times New Roman"/>
          <w:bCs/>
          <w:sz w:val="36"/>
          <w:szCs w:val="36"/>
        </w:rPr>
      </w:pPr>
    </w:p>
    <w:p w14:paraId="3659DE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bCs/>
          <w:sz w:val="40"/>
          <w:szCs w:val="40"/>
        </w:rPr>
      </w:pPr>
      <w:r>
        <w:rPr>
          <w:rFonts w:hint="default" w:ascii="Times New Roman" w:hAnsi="Times New Roman" w:eastAsia="方正小标宋简体" w:cs="Times New Roman"/>
          <w:bCs/>
          <w:sz w:val="40"/>
          <w:szCs w:val="40"/>
        </w:rPr>
        <w:t>202</w:t>
      </w:r>
      <w:r>
        <w:rPr>
          <w:rFonts w:hint="default" w:ascii="Times New Roman" w:hAnsi="Times New Roman" w:eastAsia="方正小标宋简体" w:cs="Times New Roman"/>
          <w:bCs/>
          <w:sz w:val="40"/>
          <w:szCs w:val="40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bCs/>
          <w:sz w:val="40"/>
          <w:szCs w:val="40"/>
        </w:rPr>
        <w:t>年能源行业标准计划立项指南</w:t>
      </w:r>
    </w:p>
    <w:p w14:paraId="6C3F0C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bCs/>
          <w:sz w:val="40"/>
          <w:szCs w:val="40"/>
        </w:rPr>
      </w:pPr>
    </w:p>
    <w:p w14:paraId="32B1288E">
      <w:pPr>
        <w:spacing w:line="580" w:lineRule="exact"/>
        <w:ind w:firstLine="6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为深入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贯彻党的二十大和二十届二中、三中全会精神，根据《中华人民共和国能源法》和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《国家标准化发展纲要》要求，落实全国能源工作会议</w:t>
      </w:r>
      <w:r>
        <w:rPr>
          <w:rFonts w:hint="default" w:ascii="Times New Roman" w:hAnsi="Times New Roman" w:eastAsia="仿宋_GB2312" w:cs="Times New Roman"/>
          <w:sz w:val="32"/>
          <w:szCs w:val="40"/>
          <w:lang w:val="en-US" w:eastAsia="zh-CN"/>
        </w:rPr>
        <w:t>部署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，围绕能源行业管理和产业发展需要，明确202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年能源行业标准立项重点方向和工作要求，持续完善能源行业标准体系，以标准支撑能源高质量发展，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制定本指南。</w:t>
      </w:r>
    </w:p>
    <w:p w14:paraId="16CB3BC6">
      <w:pPr>
        <w:spacing w:line="580" w:lineRule="exact"/>
        <w:ind w:firstLine="6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一、总体要求</w:t>
      </w:r>
    </w:p>
    <w:p w14:paraId="6D1E7A23">
      <w:pPr>
        <w:spacing w:line="580" w:lineRule="exact"/>
        <w:ind w:firstLine="6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坚持</w:t>
      </w:r>
      <w:r>
        <w:rPr>
          <w:rFonts w:hint="default" w:ascii="Times New Roman" w:hAnsi="Times New Roman" w:eastAsia="楷体_GB2312" w:cs="Times New Roman"/>
          <w:b/>
          <w:sz w:val="32"/>
          <w:szCs w:val="32"/>
          <w:lang w:eastAsia="zh-CN"/>
        </w:rPr>
        <w:t>问题导向和</w:t>
      </w:r>
      <w:r>
        <w:rPr>
          <w:rFonts w:hint="default" w:ascii="Times New Roman" w:hAnsi="Times New Roman" w:eastAsia="楷体_GB2312" w:cs="Times New Roman"/>
          <w:b/>
          <w:sz w:val="32"/>
          <w:szCs w:val="32"/>
        </w:rPr>
        <w:t>需求导向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深入分析能源发展改革的新形势新要求，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紧密围绕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保障能源安全和绿色低碳转型，促进能源新技术、新产业、新业态发展，突出重点领域和关键技术要求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，提出能源行业标准计划。</w:t>
      </w:r>
    </w:p>
    <w:p w14:paraId="12B3B70A">
      <w:pPr>
        <w:spacing w:line="580" w:lineRule="exact"/>
        <w:ind w:firstLine="6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强化体系</w:t>
      </w:r>
      <w:r>
        <w:rPr>
          <w:rFonts w:hint="default" w:ascii="Times New Roman" w:hAnsi="Times New Roman" w:eastAsia="楷体_GB2312" w:cs="Times New Roman"/>
          <w:b/>
          <w:sz w:val="32"/>
          <w:szCs w:val="32"/>
          <w:lang w:eastAsia="zh-CN"/>
        </w:rPr>
        <w:t>布局和统筹协调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在能源各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领域标准体系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框架下提出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行业标准计划，坚持急用先行、先进适用、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合理布局、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协调一致原则，优先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建立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健全新兴领域标准，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同步升级完善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传统领域标准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，持续加强能源标准体系建设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 w14:paraId="5847D174">
      <w:pPr>
        <w:spacing w:line="580" w:lineRule="exact"/>
        <w:ind w:firstLine="643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  <w:lang w:eastAsia="zh-CN"/>
        </w:rPr>
        <w:t>提高</w:t>
      </w:r>
      <w:r>
        <w:rPr>
          <w:rFonts w:hint="default" w:ascii="Times New Roman" w:hAnsi="Times New Roman" w:eastAsia="楷体_GB2312" w:cs="Times New Roman"/>
          <w:b/>
          <w:sz w:val="32"/>
          <w:szCs w:val="32"/>
        </w:rPr>
        <w:t>标准质量</w:t>
      </w:r>
      <w:r>
        <w:rPr>
          <w:rFonts w:hint="default" w:ascii="Times New Roman" w:hAnsi="Times New Roman" w:eastAsia="楷体_GB2312" w:cs="Times New Roman"/>
          <w:b/>
          <w:sz w:val="32"/>
          <w:szCs w:val="32"/>
          <w:lang w:eastAsia="zh-CN"/>
        </w:rPr>
        <w:t>和制修订效率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坚持科技创新与标准化协同发展，加快推动科技创新向标准转化。能源行业标准计划要坚持协商一致的原则，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强化标准制修订的前期预研，立项申报时，应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具有较好的技术基础和工作基础，计划草案较为成熟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。严格标准编制周期管理，高效率推进标准编制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，编制周期一般不超过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18个月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 w14:paraId="798D3A57">
      <w:pPr>
        <w:spacing w:line="580" w:lineRule="exact"/>
        <w:ind w:firstLine="643" w:firstLineChars="200"/>
        <w:rPr>
          <w:rFonts w:hint="default" w:ascii="Times New Roman" w:hAnsi="Times New Roman" w:eastAsia="仿宋_GB2312" w:cs="Times New Roman"/>
          <w:b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加强</w:t>
      </w:r>
      <w:r>
        <w:rPr>
          <w:rFonts w:hint="default" w:ascii="Times New Roman" w:hAnsi="Times New Roman" w:eastAsia="楷体_GB2312" w:cs="Times New Roman"/>
          <w:b/>
          <w:sz w:val="32"/>
          <w:szCs w:val="32"/>
          <w:lang w:eastAsia="zh-CN"/>
        </w:rPr>
        <w:t>国际合作和协同发展</w:t>
      </w:r>
      <w:r>
        <w:rPr>
          <w:rFonts w:hint="default" w:ascii="Times New Roman" w:hAnsi="Times New Roman" w:eastAsia="楷体_GB2312" w:cs="Times New Roman"/>
          <w:b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支持对标国际先进，立足行业发展实际，推动国际标准和能源领域标准互促转化，推进标准体系兼容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服务“一带一路”能源国际合作，推动标准互认，系统推进能源标准外文版翻译工作。</w:t>
      </w:r>
    </w:p>
    <w:p w14:paraId="7EAB7C21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二、立项重点</w:t>
      </w:r>
    </w:p>
    <w:p w14:paraId="4312C32E">
      <w:pPr>
        <w:spacing w:line="580" w:lineRule="exact"/>
        <w:ind w:firstLine="643" w:firstLineChars="200"/>
        <w:rPr>
          <w:rFonts w:ascii="Times New Roman" w:hAnsi="Times New Roman" w:eastAsia="楷体_GB2312" w:cs="Times New Roman"/>
          <w:b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（一）行业标准</w:t>
      </w:r>
      <w:r>
        <w:rPr>
          <w:rFonts w:hint="default" w:ascii="Times New Roman" w:hAnsi="Times New Roman" w:eastAsia="楷体_GB2312" w:cs="Times New Roman"/>
          <w:b/>
          <w:sz w:val="32"/>
          <w:szCs w:val="32"/>
          <w:lang w:eastAsia="zh-CN"/>
        </w:rPr>
        <w:t>制修订</w:t>
      </w:r>
      <w:r>
        <w:rPr>
          <w:rFonts w:hint="default" w:ascii="Times New Roman" w:hAnsi="Times New Roman" w:eastAsia="楷体_GB2312" w:cs="Times New Roman"/>
          <w:b/>
          <w:sz w:val="32"/>
          <w:szCs w:val="32"/>
        </w:rPr>
        <w:t>计划</w:t>
      </w:r>
    </w:p>
    <w:p w14:paraId="3D811681">
      <w:pPr>
        <w:numPr>
          <w:ilvl w:val="-1"/>
          <w:numId w:val="0"/>
        </w:numPr>
        <w:spacing w:line="580" w:lineRule="exact"/>
        <w:ind w:left="0"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1.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立足能源安全和促进能源绿色低碳转型。服务和保障能源安全稳定供应，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支撑能源碳达峰、碳中和目标的行业标准计划；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支撑新型电力系统和新型能源体系建设，促进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能源绿色低碳转型、新兴技术产业发展、能效提升和产业链碳减排等重点方向的行业标准计划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60E5702C">
      <w:pPr>
        <w:numPr>
          <w:ilvl w:val="-1"/>
          <w:numId w:val="0"/>
        </w:numPr>
        <w:spacing w:line="580" w:lineRule="exact"/>
        <w:ind w:left="0"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2.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服务行业管理和发展。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服务能源行业发展规划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监督管理需要的行业标准计划；服务电力行业安全生产相关的标准计划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与相关国家标准的实施相配套的行业标准计划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5C6A806F">
      <w:pPr>
        <w:numPr>
          <w:ilvl w:val="-1"/>
          <w:numId w:val="0"/>
        </w:numPr>
        <w:spacing w:line="580" w:lineRule="exact"/>
        <w:ind w:left="0"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3.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促进产业提质增效。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显著提升能源行业整体技术水平和产品、服务质量的行业标准计划；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能源领域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国家科技重大专项和重点研发计划等科技成果转化的行业标准计划；推进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能源领域数字化、智能化关键技术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创新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的行业标准计划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。支持已在能源领域推广应用，且具备良好实施效果评价的团体标准采信为行业标准。</w:t>
      </w:r>
    </w:p>
    <w:p w14:paraId="7A5F110E">
      <w:pPr>
        <w:numPr>
          <w:ilvl w:val="-1"/>
          <w:numId w:val="0"/>
        </w:numPr>
        <w:spacing w:line="580" w:lineRule="exact"/>
        <w:ind w:left="0"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4.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提升行业标准国际化水平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对标国外、国际先进标准，有利于提升中国标准国际公信力、影响力，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提升标准互认水平，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支撑能源项目、工程、装备走出去的行业标准计划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。支持同步申请国际标准计划的行业标准立项。</w:t>
      </w:r>
    </w:p>
    <w:p w14:paraId="1FAC52B3"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各专业领域重点方向见附件。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</w:p>
    <w:p w14:paraId="25EC7D4D">
      <w:pPr>
        <w:spacing w:line="580" w:lineRule="exact"/>
        <w:ind w:firstLine="643" w:firstLineChars="200"/>
        <w:rPr>
          <w:rFonts w:ascii="Times New Roman" w:hAnsi="Times New Roman" w:eastAsia="楷体_GB2312" w:cs="Times New Roman"/>
          <w:b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（二）行业标准外文版翻译计划</w:t>
      </w:r>
    </w:p>
    <w:p w14:paraId="2EC90881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在加强能源领域对外贸易、服务、承包工程所需的成套标准外文版体系研究的基础上，鼓励申报行业标准外文版翻译计划。鼓励标准外文版翻译计划与标准计划同步立项、同步制定、同步发布。</w:t>
      </w:r>
    </w:p>
    <w:p w14:paraId="62B4B4C4">
      <w:pPr>
        <w:spacing w:line="58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三、申报要求</w:t>
      </w:r>
    </w:p>
    <w:p w14:paraId="5011B1DC"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（一）对没有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推荐性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国家标准而又需要在能源行业范围内统一的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技术要求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，提出能源行业标准计划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属于竞争性的、一般性的技术要求，原则上不作为能源行业标准计划。</w:t>
      </w:r>
    </w:p>
    <w:p w14:paraId="2CCE6E3A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（二）应按照现有标准管理分工机制和专业领域，经过充分调研、技术论证和初步筛选后确定申报计划。</w:t>
      </w:r>
    </w:p>
    <w:p w14:paraId="458A0606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（三）申报计划应保证与现有标准体系协调一致。存在技术交叉的领域，申报单位应在计划上报前与技术相关方充分沟通协商，避免交叉重复立项。</w:t>
      </w:r>
    </w:p>
    <w:p w14:paraId="4B0D5312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（四）主要起草单位应做好标准编制前期准备工作，确保两年内完成报批。</w:t>
      </w:r>
    </w:p>
    <w:p w14:paraId="6B53D1B8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（五）行业标准外文版翻译计划应与相关国际标准进行比对研究，技术要求不低于国际标准。</w:t>
      </w:r>
    </w:p>
    <w:p w14:paraId="5BF545EA">
      <w:pPr>
        <w:spacing w:line="58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四、申报材料</w:t>
      </w:r>
    </w:p>
    <w:p w14:paraId="17B4C94D">
      <w:pPr>
        <w:spacing w:line="580" w:lineRule="exact"/>
        <w:ind w:firstLine="645"/>
        <w:rPr>
          <w:rFonts w:ascii="Times New Roman" w:hAnsi="Times New Roman" w:eastAsia="楷体_GB2312" w:cs="Times New Roman"/>
          <w:b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（一）行业标准</w:t>
      </w:r>
      <w:r>
        <w:rPr>
          <w:rFonts w:hint="default" w:ascii="Times New Roman" w:hAnsi="Times New Roman" w:eastAsia="楷体_GB2312" w:cs="Times New Roman"/>
          <w:b/>
          <w:sz w:val="32"/>
          <w:szCs w:val="32"/>
          <w:lang w:eastAsia="zh-CN"/>
        </w:rPr>
        <w:t>制修订</w:t>
      </w:r>
      <w:r>
        <w:rPr>
          <w:rFonts w:hint="default" w:ascii="Times New Roman" w:hAnsi="Times New Roman" w:eastAsia="楷体_GB2312" w:cs="Times New Roman"/>
          <w:b/>
          <w:sz w:val="32"/>
          <w:szCs w:val="32"/>
        </w:rPr>
        <w:t>计划</w:t>
      </w:r>
    </w:p>
    <w:p w14:paraId="4FBAA72B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申报材料应包括：行业标准项目计划汇总表、行业标准项目任务书、标准草案稿、审查会议纪要及专家签字表。</w:t>
      </w:r>
    </w:p>
    <w:p w14:paraId="19D30A64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项目计划汇总表应填写完整、准确，项目应注明重点方向代号（见附件），“适用范围和主要技术内容”将作为后续征求意见的重要依据。</w:t>
      </w:r>
    </w:p>
    <w:p w14:paraId="1FFEF3B4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项目任务书应填写完整、详实。“目的和理由”中请注明标准计划项目对行业工作的支撑作用。</w:t>
      </w:r>
    </w:p>
    <w:p w14:paraId="05A0180C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.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标准草案应明确提出主要章节及各章节所规定主要技术内容，内容基本覆盖“适用范围和主要技术内容”涉及的各要点。修订项目应重点说明拟修订的主要内容和理由。</w:t>
      </w:r>
    </w:p>
    <w:p w14:paraId="43698170">
      <w:pPr>
        <w:spacing w:line="580" w:lineRule="exact"/>
        <w:ind w:firstLine="645"/>
        <w:rPr>
          <w:rFonts w:ascii="Times New Roman" w:hAnsi="Times New Roman" w:eastAsia="楷体_GB2312" w:cs="Times New Roman"/>
          <w:b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（二）行业标准外文版翻译计划</w:t>
      </w:r>
    </w:p>
    <w:p w14:paraId="1693A043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申报材料包括行业标准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文版计划汇总表及行业标准项目任务书。</w:t>
      </w:r>
    </w:p>
    <w:p w14:paraId="2CA2788F">
      <w:pPr>
        <w:spacing w:line="58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五、报送方式</w:t>
      </w:r>
    </w:p>
    <w:p w14:paraId="1B26153B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行业标准项目采用集中申报、分类评估、统一下达的方式。请各能源行业标准化技术委员会通过“能源标准化信息平台”提交申报材料，各能源标准化管理机构审核确认后，提交至国家能源局能源节约和科技装备司。请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日前，将申报公文书面报送至国家能源局综合司（科技司），汇总表、项目任务书和标准草案电子版发送至邮箱。</w:t>
      </w:r>
    </w:p>
    <w:p w14:paraId="317DE27C">
      <w:pPr>
        <w:spacing w:line="580" w:lineRule="exact"/>
        <w:ind w:firstLine="645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联系人及电话：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谢逸天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010-</w:t>
      </w:r>
      <w:r>
        <w:rPr>
          <w:rFonts w:ascii="Times New Roman" w:hAnsi="Times New Roman" w:eastAsia="仿宋_GB2312" w:cs="Times New Roman"/>
          <w:sz w:val="32"/>
          <w:szCs w:val="32"/>
        </w:rPr>
        <w:t>819292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</w:p>
    <w:p w14:paraId="3B86B587">
      <w:pPr>
        <w:spacing w:line="580" w:lineRule="exact"/>
        <w:ind w:firstLine="645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邮箱：nb_standard@126.com</w:t>
      </w:r>
    </w:p>
    <w:p w14:paraId="3E013908">
      <w:pPr>
        <w:spacing w:line="58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六、项目管理</w:t>
      </w:r>
    </w:p>
    <w:p w14:paraId="11ED1F7B">
      <w:pPr>
        <w:spacing w:line="580" w:lineRule="exact"/>
        <w:ind w:firstLine="707" w:firstLineChars="221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（一）已有计划项目拖延、在研项目数量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多的标委会应主动减少新项目申报，尽快完成已下达计划。</w:t>
      </w:r>
    </w:p>
    <w:p w14:paraId="26289218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（二）项目下达后，各有关单位要强化标准项目全生命周期管理，做好标准制修订进度、资金使用、公开征求意见等监督检查，切实提升标准质量。</w:t>
      </w:r>
    </w:p>
    <w:p w14:paraId="0D0EB245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（三）标准项目下达后，项目名称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范围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、完成时间、归口单位不得随意变更。确需变更的，标委会应报请相应的能源行业标准化管理机构同意后，报国家能源局审核后进行调整。</w:t>
      </w:r>
    </w:p>
    <w:p w14:paraId="490577B6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（四）能源行业标准正式发布后，相关行业标准化管理机构要按程序在“能源标准化信息平台”上公开标准文本。</w:t>
      </w:r>
    </w:p>
    <w:p w14:paraId="73EF3B71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 w14:paraId="623D830E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能源行业标准计划立项重点方向</w:t>
      </w:r>
    </w:p>
    <w:p w14:paraId="13F43D0B">
      <w:pPr>
        <w:spacing w:line="580" w:lineRule="exact"/>
        <w:rPr>
          <w:rFonts w:ascii="Times New Roman" w:hAnsi="Times New Roman" w:eastAsia="黑体" w:cs="Times New Roman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 w14:paraId="364F7576">
      <w:pPr>
        <w:spacing w:line="240" w:lineRule="auto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</w:p>
    <w:p w14:paraId="02725D2E">
      <w:pPr>
        <w:spacing w:line="588" w:lineRule="exact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 w14:paraId="4664D14F">
      <w:pPr>
        <w:spacing w:line="588" w:lineRule="exact"/>
        <w:jc w:val="center"/>
        <w:rPr>
          <w:rFonts w:hint="default" w:ascii="Times New Roman" w:hAnsi="Times New Roman" w:eastAsia="方正小标宋简体" w:cs="Times New Roman"/>
          <w:b w:val="0"/>
          <w:bCs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b w:val="0"/>
          <w:bCs/>
          <w:sz w:val="36"/>
          <w:szCs w:val="36"/>
          <w:lang w:val="en-US" w:eastAsia="zh-CN"/>
        </w:rPr>
        <w:t>2025年</w:t>
      </w:r>
      <w:r>
        <w:rPr>
          <w:rFonts w:hint="default" w:ascii="Times New Roman" w:hAnsi="Times New Roman" w:eastAsia="方正小标宋简体" w:cs="Times New Roman"/>
          <w:b w:val="0"/>
          <w:bCs/>
          <w:sz w:val="36"/>
          <w:szCs w:val="36"/>
        </w:rPr>
        <w:t>能源行业标准计划立项重点方向</w:t>
      </w:r>
    </w:p>
    <w:p w14:paraId="12AA443A">
      <w:pPr>
        <w:spacing w:line="588" w:lineRule="exact"/>
        <w:rPr>
          <w:rFonts w:hint="default" w:ascii="Times New Roman" w:hAnsi="Times New Roman" w:eastAsia="方正小标宋简体" w:cs="Times New Roman"/>
          <w:sz w:val="36"/>
          <w:szCs w:val="36"/>
        </w:rPr>
      </w:pPr>
    </w:p>
    <w:tbl>
      <w:tblPr>
        <w:tblStyle w:val="5"/>
        <w:tblW w:w="90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2334"/>
        <w:gridCol w:w="5400"/>
      </w:tblGrid>
      <w:tr w14:paraId="764B6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shd w:val="clear" w:color="auto" w:fill="auto"/>
            <w:vAlign w:val="center"/>
          </w:tcPr>
          <w:p w14:paraId="72CAE468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领域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224322EF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Cs w:val="21"/>
                <w:lang w:eastAsia="zh-CN"/>
              </w:rPr>
              <w:t>专业方向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B4CC129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重点方向</w:t>
            </w:r>
          </w:p>
        </w:tc>
      </w:tr>
      <w:tr w14:paraId="193EA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restart"/>
            <w:shd w:val="clear" w:color="auto" w:fill="auto"/>
            <w:vAlign w:val="center"/>
          </w:tcPr>
          <w:p w14:paraId="40AD9D1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eastAsia="zh-CN" w:bidi="ar-SA"/>
              </w:rPr>
              <w:t>A电力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70F953A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A1电力系统安全稳定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75B84B1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1电力系统分析认知，A1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电力系统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规划设计、运行控制、故障防御、网源协调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、安全生产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风险控制、安全评估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3电力系统调节能力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A104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新能源发电涉网安全，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A105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构网型技术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电力可靠性管理，A1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电力监控系统安全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防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护，A1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08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电力关键信息基础设施安全保护，A1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09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电力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安全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治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理，A1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10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重要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输电通道安全管理及灾害监测预警，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11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6A178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70EC190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eastAsia="zh-CN" w:bidi="ar-SA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1D8244FF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A2火电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89FD850">
            <w:pPr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1煤电能效提升，A2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2煤电高效调节能力提升，A2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煤电供热改造，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4煤电减排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降碳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煤电智能化，A2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火力发电碳捕集利用与封存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7燃气轮机，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8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152D2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6F78EA22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7BC2EA5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A3 输配电关键技术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4082D70A">
            <w:pPr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特高压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交、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直流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，A3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适应新型电力系统的区域主网架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3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智能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变电及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配电网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（包括配电网新能源承载力提升）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，A3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微电网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，A3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新型输电技术，A3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电力领域北斗、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/>
              </w:rPr>
              <w:t>5G和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电力机器人等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数字化智能化新技术应用，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1A3D3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0E1B8B56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37C77DA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A4电力需求侧管理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4C87DBC9">
            <w:pPr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1电力需求侧资源管理开发，A4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2虚拟电厂，A4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3电动汽车充电设施，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A4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4岸电系统，A4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5综合能源，A4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3B1C6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41F6923B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5255817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A5 电力市场和</w:t>
            </w:r>
          </w:p>
          <w:p w14:paraId="49D6F11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供电服务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A70CCBA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A5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1电力市场准入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技术要求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Cs w:val="21"/>
                <w:u w:val="none"/>
                <w:lang w:eastAsia="zh-CN"/>
              </w:rPr>
              <w:t>包括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新型储能、虚拟电厂、智能微电网等新型主体参与市场）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，A5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2电力辅助服务市场功能技术规范，A5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3电力市场数据，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A504电力市场交易技术标准和数据接口标准，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05电力市场运行，A506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供电服务能力，A5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供电服务质量，A5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08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电力行业信用体系建设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，A5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09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0C5E7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54714840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73BF2F3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A6电力装备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05DCAE6D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A6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试验检测技术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，A6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适用于新型电力系统的功能要求，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A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绿色环保装备，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A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北斗应用，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A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59E99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151F9776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5CEEC2D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A7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Cs w:val="21"/>
                <w:u w:val="none"/>
                <w:lang w:val="en-US" w:eastAsia="zh-CN"/>
              </w:rPr>
              <w:t>其它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20788C55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A7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1系统友好型新能源电站，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A702绿色低碳系统，A703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其它</w:t>
            </w:r>
          </w:p>
        </w:tc>
      </w:tr>
      <w:tr w14:paraId="5A6D8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shd w:val="clear" w:color="auto" w:fill="auto"/>
            <w:vAlign w:val="center"/>
          </w:tcPr>
          <w:p w14:paraId="24A7D227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B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核电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16AA767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B1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 xml:space="preserve"> 核电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55F2FF95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B1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1先进三代压水堆，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B1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2高温气冷堆、快堆，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B1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3模块化小型堆，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B1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4海上浮动式核动力平台，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B1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核电数字化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智能化技术，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B1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60641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restart"/>
            <w:shd w:val="clear" w:color="auto" w:fill="auto"/>
            <w:vAlign w:val="center"/>
          </w:tcPr>
          <w:p w14:paraId="21885DFA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C煤炭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569A1FB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C1煤炭开发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58D51DAE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1基础通用，C1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2煤炭资源勘探与评价，C1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3工程建设，C1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4煤炭开采工艺与技术，C1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5煤矿装备与管理要求，C1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6其它</w:t>
            </w:r>
          </w:p>
        </w:tc>
      </w:tr>
      <w:tr w14:paraId="592D8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6C9EFE9A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204A12D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C2煤炭绿色低碳发展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0B80E540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1绿色开采技术与装备，C2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2采煤沉陷区治理，C2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3生产节能降耗及能效管理，C2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4煤与新能源优化组合，C2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5煤矿区碳汇计算，C2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6煤矿瓦斯抽采利用，C2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7煤矿瓦斯排放监测、计量，C2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8其它</w:t>
            </w:r>
          </w:p>
        </w:tc>
      </w:tr>
      <w:tr w14:paraId="21218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56633596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2C8FCB1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C3煤炭清洁高效利用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B524B15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1煤炭分类及质量分级，C3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2煤炭洗选，C3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3商品煤质量管理，C3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4煤炭检测，C3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5矿井水、煤矸石等资源化综合利用，C3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6煤炭转化产品、工艺与装备，C3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7其它</w:t>
            </w:r>
          </w:p>
        </w:tc>
      </w:tr>
      <w:tr w14:paraId="547A3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61384D6A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37E68DEE"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煤矿智能化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建设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2A130ED8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1煤矿智能装备、装置及系统，C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2智能化煤矿大数据建设，C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3矿用通信传输，C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4煤矿信息系统建设和管理，C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5矿用新型动力系统，C4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6煤矿智能化运行、维护与评价，C4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7煤炭分选智能化，C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408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45C51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124DA40A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7B87C8C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C5煤炭行业服务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09F497A0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C5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1煤炭市场与贸易，C5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2产业及技术评价，C5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3信用建设，C5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4其它</w:t>
            </w:r>
          </w:p>
        </w:tc>
      </w:tr>
      <w:tr w14:paraId="406BA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restart"/>
            <w:shd w:val="clear" w:color="auto" w:fill="auto"/>
            <w:vAlign w:val="center"/>
          </w:tcPr>
          <w:p w14:paraId="1E97D2F8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D油气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64296C6B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D1油气勘探开发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0CE2CECD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深地、深海、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非常规油气勘探开发，D1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2油气田数字化、智能化，D1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3复杂油气田提高采收率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，D1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油气田节能降耗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新能源与传统能源综合利用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，D1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煤层气勘探开发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，D1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6DEC8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0EBED2FE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4921E3B2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油气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储运及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基础设施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A0C25BC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1油气长输管道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（含海洋管道）数字化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智能化，D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LNG接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收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站关键设备，D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3地下储气库，D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4地下储油库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D205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6D645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shd w:val="clear" w:color="auto" w:fill="auto"/>
            <w:vAlign w:val="center"/>
          </w:tcPr>
          <w:p w14:paraId="297B59AB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7070139C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油气领域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碳捕集利用与封存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3285A425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D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1碳捕集，D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2碳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输送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，D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碳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利用与封存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，D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47976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restart"/>
            <w:shd w:val="clear" w:color="auto" w:fill="auto"/>
            <w:vAlign w:val="center"/>
          </w:tcPr>
          <w:p w14:paraId="70D0CA43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E新能源和可再生能源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4B038E1F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E1水电（含抽水蓄能）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15764F5C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1抽水蓄能，E1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2水电数字化、智能化，E1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水电更新改造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、扩机增容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水电梯级融合改造，E1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水电碳减排与节能增效，E1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水电可持续发展及后评估，E1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水电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运行管理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、应急管理、安全监测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8水电防汛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9水电设备质量控制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，E110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28A85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vAlign w:val="center"/>
          </w:tcPr>
          <w:p w14:paraId="3D0F119F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4D3FBFF8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风电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38347032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1海上风电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0"/>
                <w:szCs w:val="21"/>
                <w:u w:val="none"/>
                <w:lang w:eastAsia="zh-CN"/>
              </w:rPr>
              <w:t>包括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深远海）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2分散式风电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老旧风电站升级改造、风电机组退役回收与再利用，E2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质量验收与安全管理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5其它</w:t>
            </w:r>
          </w:p>
        </w:tc>
      </w:tr>
      <w:tr w14:paraId="75F6C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vAlign w:val="center"/>
          </w:tcPr>
          <w:p w14:paraId="72D61C2F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188CCE1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 光伏和光热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3C78DFA0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分布式光伏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海上光伏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户用光伏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老旧光伏电站升级改造、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组件退役回收与再利用，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光热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光伏、光热一体化，E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76C91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vAlign w:val="center"/>
          </w:tcPr>
          <w:p w14:paraId="1BDA29BB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275B17EE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可再生能源</w:t>
            </w:r>
          </w:p>
          <w:p w14:paraId="1018AF5F"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综合开发利用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73C4BCFE">
            <w:pPr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水风光一体化发展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大型风电光伏基地建设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可再生能源数字化、智能化，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467F8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vAlign w:val="center"/>
          </w:tcPr>
          <w:p w14:paraId="03675D51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4307309E"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其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它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2C680EEB">
            <w:pPr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绿证绿电，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生物质能源转化利用，E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地热能开发利用，E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海洋能开发利用，E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热泵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E506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清洁炉具，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</w:rPr>
              <w:t>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07户用沼气，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E508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新能源和可再生能源发电企业安全生产，E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09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1D6A7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restart"/>
            <w:shd w:val="clear" w:color="auto" w:fill="auto"/>
            <w:vAlign w:val="center"/>
          </w:tcPr>
          <w:p w14:paraId="011114D5"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</w:rPr>
              <w:t>F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eastAsia="zh-CN"/>
              </w:rPr>
              <w:t>新型储能和氢能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45513B1C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F1新型储能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799A8CEC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F1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电化学储能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，F1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压缩空气储能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，F1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飞轮储能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，F1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19365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vAlign w:val="center"/>
          </w:tcPr>
          <w:p w14:paraId="3ADC75B5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15D5689E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F2氢能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90FC613">
            <w:pPr>
              <w:widowControl/>
              <w:jc w:val="both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F2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1基础与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通用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，F2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2氢制备，F2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3氢储存和输运，F2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4氢加注，F2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燃料电池等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氢能应用，F2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其它</w:t>
            </w:r>
          </w:p>
        </w:tc>
      </w:tr>
      <w:tr w14:paraId="37E4C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Align w:val="center"/>
          </w:tcPr>
          <w:p w14:paraId="14F5A84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G炼油、煤制油气和绿色液体燃料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4B81135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G1炼油、煤制油气和绿色液体燃料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0AECA167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G1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1炼油装置和产品检测设备数字化、智能化，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G1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2炼油、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煤基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燃料项目的绿色低碳技术改造，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G1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3石油燃料、润滑剂和有关产品和绿色低碳化，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G1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4生物柴油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纤维素等非粮燃料乙醇、绿色甲醇、绿氨、可持续航空燃料等绿色清洁液体燃料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G1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5 煤基燃料，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G1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6石油化工资源化利用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，G107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eastAsia="zh-CN"/>
              </w:rPr>
              <w:t>其它</w:t>
            </w:r>
          </w:p>
        </w:tc>
      </w:tr>
      <w:tr w14:paraId="053CC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restart"/>
            <w:vAlign w:val="center"/>
          </w:tcPr>
          <w:p w14:paraId="7BF00B7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highlight w:val="none"/>
                <w:lang w:val="en-US" w:eastAsia="zh-CN"/>
              </w:rPr>
              <w:t>H能源碳管理和产业融合发展</w:t>
            </w:r>
          </w:p>
        </w:tc>
        <w:tc>
          <w:tcPr>
            <w:tcW w:w="2334" w:type="dxa"/>
            <w:shd w:val="clear" w:color="auto" w:fill="auto"/>
            <w:vAlign w:val="center"/>
          </w:tcPr>
          <w:p w14:paraId="299849B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H1能源碳管理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707A67CC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H101电力碳排放核算及评价、碳足迹核算及评价，H102煤炭碳排放核算及评价、碳足迹核算及评价，H103油气碳排放核算及评价、碳足迹核算及评价，H104燃油碳排放核算及评价、碳足迹核算及评价，H105能源项目碳减排成效评价，H106其它</w:t>
            </w:r>
          </w:p>
        </w:tc>
      </w:tr>
      <w:tr w14:paraId="28059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1266" w:type="dxa"/>
            <w:vMerge w:val="continue"/>
            <w:vAlign w:val="center"/>
          </w:tcPr>
          <w:p w14:paraId="7CA0041C"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</w:p>
        </w:tc>
        <w:tc>
          <w:tcPr>
            <w:tcW w:w="2334" w:type="dxa"/>
            <w:shd w:val="clear" w:color="auto" w:fill="auto"/>
            <w:vAlign w:val="center"/>
          </w:tcPr>
          <w:p w14:paraId="660CD8A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H2能源与其它产业融合发展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428E32F9">
            <w:pPr>
              <w:widowControl/>
              <w:jc w:val="both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H201能源与数据融合，H202能源与交通融合，H203能源与建筑融合，H204能源与工业融合，H205能源与生态环境融合，H206其它</w:t>
            </w:r>
          </w:p>
        </w:tc>
      </w:tr>
    </w:tbl>
    <w:p w14:paraId="0DDBCF75">
      <w:pPr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5F0353">
    <w:pPr>
      <w:pStyle w:val="3"/>
      <w:tabs>
        <w:tab w:val="left" w:pos="6293"/>
      </w:tabs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3D8027A">
                          <w:pPr>
                            <w:pStyle w:val="3"/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3D8027A">
                    <w:pPr>
                      <w:pStyle w:val="3"/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</w:pPr>
                    <w:r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default" w:ascii="Times New Roman" w:hAnsi="Times New Roman" w:eastAsia="宋体" w:cs="Times New Roman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ascii="宋体" w:hAnsi="宋体" w:eastAsia="宋体"/>
        <w:sz w:val="28"/>
        <w:szCs w:val="28"/>
      </w:rPr>
      <w:tab/>
    </w:r>
    <w:r>
      <w:rPr>
        <w:rFonts w:ascii="宋体" w:hAnsi="宋体" w:eastAsia="宋体"/>
        <w:sz w:val="28"/>
        <w:szCs w:val="28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7CBE3F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2405380</wp:posOffset>
              </wp:positionH>
              <wp:positionV relativeFrom="paragraph">
                <wp:posOffset>-93980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540157">
                          <w:pPr>
                            <w:pStyle w:val="3"/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9.4pt;margin-top:-7.4pt;height:144pt;width:144pt;mso-position-horizontal-relative:margin;mso-wrap-style:none;z-index:251660288;mso-width-relative:page;mso-height-relative:page;" filled="f" stroked="f" coordsize="21600,21600" o:gfxdata="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H2xP1NgAAAALAQAADwAAAAAAAAABACAAAAAiAAAAZHJzL2Rvd25yZXYueG1s&#10;UEsBAhQAFAAAAAgAh07iQCSCRrQxAgAAYQQAAA4AAAAAAAAAAQAgAAAAJ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9540157">
                    <w:pPr>
                      <w:pStyle w:val="3"/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ODVjODg0NmVjMjVmZjFjMDEwN2NjNDY2N2YyMzAifQ=="/>
  </w:docVars>
  <w:rsids>
    <w:rsidRoot w:val="00A8008B"/>
    <w:rsid w:val="000073EB"/>
    <w:rsid w:val="00011096"/>
    <w:rsid w:val="00015A90"/>
    <w:rsid w:val="00023702"/>
    <w:rsid w:val="00046972"/>
    <w:rsid w:val="00050951"/>
    <w:rsid w:val="000511B1"/>
    <w:rsid w:val="000868F1"/>
    <w:rsid w:val="00092207"/>
    <w:rsid w:val="000933AB"/>
    <w:rsid w:val="000A6C6C"/>
    <w:rsid w:val="000B0B13"/>
    <w:rsid w:val="000B2911"/>
    <w:rsid w:val="000B6FE0"/>
    <w:rsid w:val="000C509F"/>
    <w:rsid w:val="000C66E8"/>
    <w:rsid w:val="000D4CA9"/>
    <w:rsid w:val="000E23D8"/>
    <w:rsid w:val="000F089E"/>
    <w:rsid w:val="000F367F"/>
    <w:rsid w:val="0010567E"/>
    <w:rsid w:val="00106D2A"/>
    <w:rsid w:val="001204F3"/>
    <w:rsid w:val="0012395B"/>
    <w:rsid w:val="00133D05"/>
    <w:rsid w:val="00153747"/>
    <w:rsid w:val="00174CC5"/>
    <w:rsid w:val="00176F3E"/>
    <w:rsid w:val="00186866"/>
    <w:rsid w:val="001913FA"/>
    <w:rsid w:val="001946C4"/>
    <w:rsid w:val="001961CC"/>
    <w:rsid w:val="001A2C37"/>
    <w:rsid w:val="001A4A5B"/>
    <w:rsid w:val="001A6E1D"/>
    <w:rsid w:val="001A7B1E"/>
    <w:rsid w:val="001C1916"/>
    <w:rsid w:val="001C6658"/>
    <w:rsid w:val="001C7A7A"/>
    <w:rsid w:val="001D45D4"/>
    <w:rsid w:val="001D4E2E"/>
    <w:rsid w:val="001E6E40"/>
    <w:rsid w:val="001F7B28"/>
    <w:rsid w:val="00200F0E"/>
    <w:rsid w:val="002124E5"/>
    <w:rsid w:val="002162B9"/>
    <w:rsid w:val="00216378"/>
    <w:rsid w:val="002323C9"/>
    <w:rsid w:val="00244854"/>
    <w:rsid w:val="00264992"/>
    <w:rsid w:val="00267445"/>
    <w:rsid w:val="002729A0"/>
    <w:rsid w:val="0027563C"/>
    <w:rsid w:val="00277827"/>
    <w:rsid w:val="0029131F"/>
    <w:rsid w:val="00291EA4"/>
    <w:rsid w:val="00294B5C"/>
    <w:rsid w:val="00295015"/>
    <w:rsid w:val="002963C8"/>
    <w:rsid w:val="00297310"/>
    <w:rsid w:val="002A7B53"/>
    <w:rsid w:val="002B25DB"/>
    <w:rsid w:val="002B28AC"/>
    <w:rsid w:val="002B31D8"/>
    <w:rsid w:val="002B6F7F"/>
    <w:rsid w:val="002C3D3C"/>
    <w:rsid w:val="002C6191"/>
    <w:rsid w:val="002E5E05"/>
    <w:rsid w:val="00310D6A"/>
    <w:rsid w:val="00323070"/>
    <w:rsid w:val="00332034"/>
    <w:rsid w:val="00332852"/>
    <w:rsid w:val="0033667A"/>
    <w:rsid w:val="00337A64"/>
    <w:rsid w:val="00346631"/>
    <w:rsid w:val="0035543A"/>
    <w:rsid w:val="00372869"/>
    <w:rsid w:val="00376045"/>
    <w:rsid w:val="00376FF6"/>
    <w:rsid w:val="00394763"/>
    <w:rsid w:val="003957F8"/>
    <w:rsid w:val="00395A29"/>
    <w:rsid w:val="003979FE"/>
    <w:rsid w:val="003A50BF"/>
    <w:rsid w:val="003A7DEE"/>
    <w:rsid w:val="003D2108"/>
    <w:rsid w:val="004014B3"/>
    <w:rsid w:val="004216F5"/>
    <w:rsid w:val="00443190"/>
    <w:rsid w:val="00445218"/>
    <w:rsid w:val="00455D60"/>
    <w:rsid w:val="00460733"/>
    <w:rsid w:val="00464D01"/>
    <w:rsid w:val="00472EB5"/>
    <w:rsid w:val="00480F61"/>
    <w:rsid w:val="00486F04"/>
    <w:rsid w:val="00492B12"/>
    <w:rsid w:val="004A3FDD"/>
    <w:rsid w:val="004B55A2"/>
    <w:rsid w:val="004C2897"/>
    <w:rsid w:val="004D1197"/>
    <w:rsid w:val="004D5654"/>
    <w:rsid w:val="004E3169"/>
    <w:rsid w:val="004E3C74"/>
    <w:rsid w:val="004F268A"/>
    <w:rsid w:val="0050724B"/>
    <w:rsid w:val="00512395"/>
    <w:rsid w:val="005413D3"/>
    <w:rsid w:val="00542629"/>
    <w:rsid w:val="00550463"/>
    <w:rsid w:val="005579A3"/>
    <w:rsid w:val="00560F0F"/>
    <w:rsid w:val="00563528"/>
    <w:rsid w:val="0057341B"/>
    <w:rsid w:val="005903E4"/>
    <w:rsid w:val="00596FBA"/>
    <w:rsid w:val="005A0A30"/>
    <w:rsid w:val="005A2F35"/>
    <w:rsid w:val="005A643E"/>
    <w:rsid w:val="005B5522"/>
    <w:rsid w:val="005D3F4F"/>
    <w:rsid w:val="005E075B"/>
    <w:rsid w:val="005E197F"/>
    <w:rsid w:val="005F4FAA"/>
    <w:rsid w:val="00612D90"/>
    <w:rsid w:val="00616DDB"/>
    <w:rsid w:val="00632C59"/>
    <w:rsid w:val="00636456"/>
    <w:rsid w:val="00647FD7"/>
    <w:rsid w:val="00652BE9"/>
    <w:rsid w:val="00666EC9"/>
    <w:rsid w:val="00680A5D"/>
    <w:rsid w:val="0068390B"/>
    <w:rsid w:val="006C2381"/>
    <w:rsid w:val="006E0E24"/>
    <w:rsid w:val="006E6412"/>
    <w:rsid w:val="006F092A"/>
    <w:rsid w:val="006F58D6"/>
    <w:rsid w:val="00713956"/>
    <w:rsid w:val="007258AD"/>
    <w:rsid w:val="00746F59"/>
    <w:rsid w:val="00750AA5"/>
    <w:rsid w:val="0075138E"/>
    <w:rsid w:val="007655AC"/>
    <w:rsid w:val="00772265"/>
    <w:rsid w:val="007730B7"/>
    <w:rsid w:val="00773FFB"/>
    <w:rsid w:val="00774A84"/>
    <w:rsid w:val="00780D1C"/>
    <w:rsid w:val="00783ABE"/>
    <w:rsid w:val="00791D6F"/>
    <w:rsid w:val="007C3FCD"/>
    <w:rsid w:val="007D52A0"/>
    <w:rsid w:val="007D7534"/>
    <w:rsid w:val="007E24F1"/>
    <w:rsid w:val="007E518F"/>
    <w:rsid w:val="007E7EBB"/>
    <w:rsid w:val="00802751"/>
    <w:rsid w:val="008148BF"/>
    <w:rsid w:val="00816EF6"/>
    <w:rsid w:val="0082126D"/>
    <w:rsid w:val="008313B9"/>
    <w:rsid w:val="008334FE"/>
    <w:rsid w:val="00833F83"/>
    <w:rsid w:val="0083648F"/>
    <w:rsid w:val="008450CE"/>
    <w:rsid w:val="00872C86"/>
    <w:rsid w:val="008735D8"/>
    <w:rsid w:val="0087408B"/>
    <w:rsid w:val="00877788"/>
    <w:rsid w:val="00881CFD"/>
    <w:rsid w:val="0088516F"/>
    <w:rsid w:val="00885219"/>
    <w:rsid w:val="008863C7"/>
    <w:rsid w:val="008926A5"/>
    <w:rsid w:val="00895292"/>
    <w:rsid w:val="008C11F4"/>
    <w:rsid w:val="008C5888"/>
    <w:rsid w:val="008D5A88"/>
    <w:rsid w:val="008F5F54"/>
    <w:rsid w:val="00902E25"/>
    <w:rsid w:val="009044A8"/>
    <w:rsid w:val="00906A9C"/>
    <w:rsid w:val="0091275A"/>
    <w:rsid w:val="0091468A"/>
    <w:rsid w:val="00932041"/>
    <w:rsid w:val="00936E1D"/>
    <w:rsid w:val="009370CA"/>
    <w:rsid w:val="00956B5E"/>
    <w:rsid w:val="00966543"/>
    <w:rsid w:val="009711DE"/>
    <w:rsid w:val="009725D1"/>
    <w:rsid w:val="0098651D"/>
    <w:rsid w:val="00997C1A"/>
    <w:rsid w:val="009A20C2"/>
    <w:rsid w:val="009B0B0C"/>
    <w:rsid w:val="009B1C6C"/>
    <w:rsid w:val="009C2CC6"/>
    <w:rsid w:val="009C529B"/>
    <w:rsid w:val="009C6F28"/>
    <w:rsid w:val="009E00DE"/>
    <w:rsid w:val="00A06D42"/>
    <w:rsid w:val="00A1042E"/>
    <w:rsid w:val="00A108B2"/>
    <w:rsid w:val="00A11393"/>
    <w:rsid w:val="00A14AD6"/>
    <w:rsid w:val="00A152A9"/>
    <w:rsid w:val="00A23809"/>
    <w:rsid w:val="00A30A3B"/>
    <w:rsid w:val="00A34CC5"/>
    <w:rsid w:val="00A4087F"/>
    <w:rsid w:val="00A41855"/>
    <w:rsid w:val="00A43F59"/>
    <w:rsid w:val="00A50791"/>
    <w:rsid w:val="00A65DEB"/>
    <w:rsid w:val="00A71130"/>
    <w:rsid w:val="00A8008B"/>
    <w:rsid w:val="00A82A3E"/>
    <w:rsid w:val="00A95170"/>
    <w:rsid w:val="00AA0F69"/>
    <w:rsid w:val="00AA6B1D"/>
    <w:rsid w:val="00AC10B0"/>
    <w:rsid w:val="00AC186F"/>
    <w:rsid w:val="00AC4A56"/>
    <w:rsid w:val="00AD5067"/>
    <w:rsid w:val="00AE02E8"/>
    <w:rsid w:val="00AF4869"/>
    <w:rsid w:val="00B016F4"/>
    <w:rsid w:val="00B02C1E"/>
    <w:rsid w:val="00B07832"/>
    <w:rsid w:val="00B10A76"/>
    <w:rsid w:val="00B119F2"/>
    <w:rsid w:val="00B2647C"/>
    <w:rsid w:val="00B30746"/>
    <w:rsid w:val="00B3232F"/>
    <w:rsid w:val="00B374D6"/>
    <w:rsid w:val="00B554F3"/>
    <w:rsid w:val="00B564C9"/>
    <w:rsid w:val="00B712A4"/>
    <w:rsid w:val="00B717C6"/>
    <w:rsid w:val="00B72375"/>
    <w:rsid w:val="00B72609"/>
    <w:rsid w:val="00B735E9"/>
    <w:rsid w:val="00B84133"/>
    <w:rsid w:val="00B845B2"/>
    <w:rsid w:val="00B96E3D"/>
    <w:rsid w:val="00B97E01"/>
    <w:rsid w:val="00BA0947"/>
    <w:rsid w:val="00BD2F21"/>
    <w:rsid w:val="00BE13E4"/>
    <w:rsid w:val="00BF1A2A"/>
    <w:rsid w:val="00C266A6"/>
    <w:rsid w:val="00C330F1"/>
    <w:rsid w:val="00C50CC1"/>
    <w:rsid w:val="00C57B34"/>
    <w:rsid w:val="00C609CE"/>
    <w:rsid w:val="00C75B80"/>
    <w:rsid w:val="00C811D7"/>
    <w:rsid w:val="00CD24B6"/>
    <w:rsid w:val="00CD3649"/>
    <w:rsid w:val="00CD4628"/>
    <w:rsid w:val="00CE2D71"/>
    <w:rsid w:val="00D12C0D"/>
    <w:rsid w:val="00D14615"/>
    <w:rsid w:val="00D2126A"/>
    <w:rsid w:val="00D2167E"/>
    <w:rsid w:val="00D233BC"/>
    <w:rsid w:val="00D34EC9"/>
    <w:rsid w:val="00D50A46"/>
    <w:rsid w:val="00D522D0"/>
    <w:rsid w:val="00D5685E"/>
    <w:rsid w:val="00D6097B"/>
    <w:rsid w:val="00D66B52"/>
    <w:rsid w:val="00D81EBC"/>
    <w:rsid w:val="00D83E80"/>
    <w:rsid w:val="00D94700"/>
    <w:rsid w:val="00D95A2E"/>
    <w:rsid w:val="00D97BCE"/>
    <w:rsid w:val="00DC1CE7"/>
    <w:rsid w:val="00DD1C55"/>
    <w:rsid w:val="00DD1E30"/>
    <w:rsid w:val="00DE31FB"/>
    <w:rsid w:val="00DF177B"/>
    <w:rsid w:val="00DF26E0"/>
    <w:rsid w:val="00DF6929"/>
    <w:rsid w:val="00E006B5"/>
    <w:rsid w:val="00E04624"/>
    <w:rsid w:val="00E21B94"/>
    <w:rsid w:val="00E30349"/>
    <w:rsid w:val="00E31074"/>
    <w:rsid w:val="00E32866"/>
    <w:rsid w:val="00E342E2"/>
    <w:rsid w:val="00E52D6B"/>
    <w:rsid w:val="00E71142"/>
    <w:rsid w:val="00E75E20"/>
    <w:rsid w:val="00E85C69"/>
    <w:rsid w:val="00E86158"/>
    <w:rsid w:val="00EA47F7"/>
    <w:rsid w:val="00EA5DF2"/>
    <w:rsid w:val="00EB0880"/>
    <w:rsid w:val="00EB2BBF"/>
    <w:rsid w:val="00EB5C82"/>
    <w:rsid w:val="00EC379F"/>
    <w:rsid w:val="00EC651A"/>
    <w:rsid w:val="00EC6932"/>
    <w:rsid w:val="00ED2338"/>
    <w:rsid w:val="00EF2762"/>
    <w:rsid w:val="00EF519B"/>
    <w:rsid w:val="00F00318"/>
    <w:rsid w:val="00F03361"/>
    <w:rsid w:val="00F05CAC"/>
    <w:rsid w:val="00F10B27"/>
    <w:rsid w:val="00F241FA"/>
    <w:rsid w:val="00F32412"/>
    <w:rsid w:val="00F41389"/>
    <w:rsid w:val="00F50202"/>
    <w:rsid w:val="00F54C76"/>
    <w:rsid w:val="00F550DA"/>
    <w:rsid w:val="00F6192F"/>
    <w:rsid w:val="00F64E15"/>
    <w:rsid w:val="00F65FAF"/>
    <w:rsid w:val="00F67C1C"/>
    <w:rsid w:val="00F71114"/>
    <w:rsid w:val="00F76569"/>
    <w:rsid w:val="00F8345A"/>
    <w:rsid w:val="00F875F5"/>
    <w:rsid w:val="00F937F0"/>
    <w:rsid w:val="00F94B16"/>
    <w:rsid w:val="00FA4143"/>
    <w:rsid w:val="00FA5F87"/>
    <w:rsid w:val="00FB106D"/>
    <w:rsid w:val="00FC3225"/>
    <w:rsid w:val="00FD46C6"/>
    <w:rsid w:val="00FD4739"/>
    <w:rsid w:val="00FE1DC0"/>
    <w:rsid w:val="00FF21EC"/>
    <w:rsid w:val="055B581B"/>
    <w:rsid w:val="068A57FE"/>
    <w:rsid w:val="07A934BA"/>
    <w:rsid w:val="098B5E5F"/>
    <w:rsid w:val="0B93E8C9"/>
    <w:rsid w:val="0FEFD62F"/>
    <w:rsid w:val="104714EF"/>
    <w:rsid w:val="124C2B05"/>
    <w:rsid w:val="12C9C6EA"/>
    <w:rsid w:val="13FC0839"/>
    <w:rsid w:val="14EE5F37"/>
    <w:rsid w:val="15497B61"/>
    <w:rsid w:val="15E841D6"/>
    <w:rsid w:val="16B17A83"/>
    <w:rsid w:val="19C585B4"/>
    <w:rsid w:val="19F478CF"/>
    <w:rsid w:val="1B0D4343"/>
    <w:rsid w:val="1B4920A3"/>
    <w:rsid w:val="1BF5553B"/>
    <w:rsid w:val="1D7F6599"/>
    <w:rsid w:val="1F3F53DA"/>
    <w:rsid w:val="1F7DFF67"/>
    <w:rsid w:val="1FB40EC2"/>
    <w:rsid w:val="209634FA"/>
    <w:rsid w:val="256F1973"/>
    <w:rsid w:val="25E719E3"/>
    <w:rsid w:val="262D3829"/>
    <w:rsid w:val="2A3E5B1D"/>
    <w:rsid w:val="2E792742"/>
    <w:rsid w:val="2EB57C8B"/>
    <w:rsid w:val="2F7B7A2C"/>
    <w:rsid w:val="2FDD3C3E"/>
    <w:rsid w:val="307F94B8"/>
    <w:rsid w:val="31887F2E"/>
    <w:rsid w:val="32E808C1"/>
    <w:rsid w:val="376BD91E"/>
    <w:rsid w:val="37F955CA"/>
    <w:rsid w:val="38216F94"/>
    <w:rsid w:val="39517460"/>
    <w:rsid w:val="395C7DAD"/>
    <w:rsid w:val="3A7ECD33"/>
    <w:rsid w:val="3BBD36A8"/>
    <w:rsid w:val="3BFEAFAD"/>
    <w:rsid w:val="3CFEB9F3"/>
    <w:rsid w:val="3EAC8AE0"/>
    <w:rsid w:val="3EFFF62D"/>
    <w:rsid w:val="3FBF3A4E"/>
    <w:rsid w:val="3FF3F003"/>
    <w:rsid w:val="3FFF1D9F"/>
    <w:rsid w:val="405E0FF7"/>
    <w:rsid w:val="42DE7911"/>
    <w:rsid w:val="434F7E0A"/>
    <w:rsid w:val="43B705B2"/>
    <w:rsid w:val="4415467F"/>
    <w:rsid w:val="47DFD989"/>
    <w:rsid w:val="489B05D6"/>
    <w:rsid w:val="491C176D"/>
    <w:rsid w:val="498A74EB"/>
    <w:rsid w:val="4B73374D"/>
    <w:rsid w:val="4BD72244"/>
    <w:rsid w:val="4C3E6E83"/>
    <w:rsid w:val="4E957CF5"/>
    <w:rsid w:val="4ED7A117"/>
    <w:rsid w:val="4F7B53E6"/>
    <w:rsid w:val="4FCC1D93"/>
    <w:rsid w:val="4FF22C27"/>
    <w:rsid w:val="51E5536E"/>
    <w:rsid w:val="52D258F5"/>
    <w:rsid w:val="53FF69A2"/>
    <w:rsid w:val="557D0CEB"/>
    <w:rsid w:val="559E9CFB"/>
    <w:rsid w:val="56FCB55B"/>
    <w:rsid w:val="571982EC"/>
    <w:rsid w:val="573BAD25"/>
    <w:rsid w:val="57BBBDC1"/>
    <w:rsid w:val="57E6E875"/>
    <w:rsid w:val="57E9E41D"/>
    <w:rsid w:val="57FF17E1"/>
    <w:rsid w:val="581E6BD2"/>
    <w:rsid w:val="58507EF9"/>
    <w:rsid w:val="58C77312"/>
    <w:rsid w:val="5A2044FA"/>
    <w:rsid w:val="5B7C80B8"/>
    <w:rsid w:val="5BF7661A"/>
    <w:rsid w:val="5CFF3197"/>
    <w:rsid w:val="5DBF7C65"/>
    <w:rsid w:val="5DD8F4EA"/>
    <w:rsid w:val="5DDF9BB0"/>
    <w:rsid w:val="5E7F32BA"/>
    <w:rsid w:val="5EDD6CE1"/>
    <w:rsid w:val="5EFB0784"/>
    <w:rsid w:val="5EFE50F9"/>
    <w:rsid w:val="5FF56AFF"/>
    <w:rsid w:val="62483D7C"/>
    <w:rsid w:val="62DC8674"/>
    <w:rsid w:val="651D78E0"/>
    <w:rsid w:val="6576341F"/>
    <w:rsid w:val="66DF7F16"/>
    <w:rsid w:val="677EB281"/>
    <w:rsid w:val="67AFB376"/>
    <w:rsid w:val="6B5F607B"/>
    <w:rsid w:val="6B751C63"/>
    <w:rsid w:val="6C57074D"/>
    <w:rsid w:val="6D3A19DA"/>
    <w:rsid w:val="6DF7A13C"/>
    <w:rsid w:val="6EAB2B8B"/>
    <w:rsid w:val="6F3B286D"/>
    <w:rsid w:val="6F458965"/>
    <w:rsid w:val="6F4DB20F"/>
    <w:rsid w:val="6F8E6871"/>
    <w:rsid w:val="6FA7101C"/>
    <w:rsid w:val="6FAE609E"/>
    <w:rsid w:val="6FD60C3A"/>
    <w:rsid w:val="6FFF88D1"/>
    <w:rsid w:val="6FFF99C4"/>
    <w:rsid w:val="70167633"/>
    <w:rsid w:val="70F6E0FA"/>
    <w:rsid w:val="71DF5C27"/>
    <w:rsid w:val="71FB4E6F"/>
    <w:rsid w:val="73434EC7"/>
    <w:rsid w:val="7371A55E"/>
    <w:rsid w:val="73D7D911"/>
    <w:rsid w:val="73FA7133"/>
    <w:rsid w:val="73FB9D0C"/>
    <w:rsid w:val="74ED317A"/>
    <w:rsid w:val="74FF000A"/>
    <w:rsid w:val="76FE28E9"/>
    <w:rsid w:val="777C840C"/>
    <w:rsid w:val="779DB397"/>
    <w:rsid w:val="77BDD5AA"/>
    <w:rsid w:val="77DD0F04"/>
    <w:rsid w:val="77DF2F94"/>
    <w:rsid w:val="77FE8D0C"/>
    <w:rsid w:val="77FF1433"/>
    <w:rsid w:val="78106C14"/>
    <w:rsid w:val="795BF86D"/>
    <w:rsid w:val="79604A63"/>
    <w:rsid w:val="79AC26FA"/>
    <w:rsid w:val="79FFE6A5"/>
    <w:rsid w:val="7AF3162A"/>
    <w:rsid w:val="7AF6A20E"/>
    <w:rsid w:val="7B3E8264"/>
    <w:rsid w:val="7B7D17C7"/>
    <w:rsid w:val="7B921B11"/>
    <w:rsid w:val="7BAB5F6F"/>
    <w:rsid w:val="7BBDEFE8"/>
    <w:rsid w:val="7BE443F0"/>
    <w:rsid w:val="7BEF32C4"/>
    <w:rsid w:val="7BF9B0DB"/>
    <w:rsid w:val="7C5647AF"/>
    <w:rsid w:val="7C7ED41D"/>
    <w:rsid w:val="7C7FD977"/>
    <w:rsid w:val="7CA30749"/>
    <w:rsid w:val="7CFA18F6"/>
    <w:rsid w:val="7D7FAAEB"/>
    <w:rsid w:val="7DBA7074"/>
    <w:rsid w:val="7DFB730E"/>
    <w:rsid w:val="7ED76380"/>
    <w:rsid w:val="7EDEB337"/>
    <w:rsid w:val="7EFBD5FD"/>
    <w:rsid w:val="7F537E64"/>
    <w:rsid w:val="7F7B704E"/>
    <w:rsid w:val="7F7F9C2C"/>
    <w:rsid w:val="7FA92F6C"/>
    <w:rsid w:val="7FAFA938"/>
    <w:rsid w:val="7FB77256"/>
    <w:rsid w:val="7FBA2FC1"/>
    <w:rsid w:val="7FBD08F5"/>
    <w:rsid w:val="7FE2CC1F"/>
    <w:rsid w:val="7FEB188B"/>
    <w:rsid w:val="7FED781A"/>
    <w:rsid w:val="7FED7918"/>
    <w:rsid w:val="7FEE9DC2"/>
    <w:rsid w:val="7FEF9853"/>
    <w:rsid w:val="7FFB9C5F"/>
    <w:rsid w:val="7FFE8E4F"/>
    <w:rsid w:val="7FFF53FE"/>
    <w:rsid w:val="8E1FB884"/>
    <w:rsid w:val="958BC273"/>
    <w:rsid w:val="975F9481"/>
    <w:rsid w:val="9A9FCF5F"/>
    <w:rsid w:val="9C6F6D76"/>
    <w:rsid w:val="9CDB0605"/>
    <w:rsid w:val="9DAFB620"/>
    <w:rsid w:val="9E5FEF81"/>
    <w:rsid w:val="9FFA3965"/>
    <w:rsid w:val="A34572DD"/>
    <w:rsid w:val="AC7F3BDE"/>
    <w:rsid w:val="AD771A8A"/>
    <w:rsid w:val="AE3F7EF3"/>
    <w:rsid w:val="AEEF5D66"/>
    <w:rsid w:val="AF7E46FD"/>
    <w:rsid w:val="AFDFA3C3"/>
    <w:rsid w:val="AFFC0FE4"/>
    <w:rsid w:val="AFFDCF78"/>
    <w:rsid w:val="B5FF3A2A"/>
    <w:rsid w:val="B6EB0A8F"/>
    <w:rsid w:val="B6EFE931"/>
    <w:rsid w:val="B7EB3682"/>
    <w:rsid w:val="BAE76429"/>
    <w:rsid w:val="BBADA186"/>
    <w:rsid w:val="BBB7A8A2"/>
    <w:rsid w:val="BBDEBA2C"/>
    <w:rsid w:val="BBDF5E61"/>
    <w:rsid w:val="BD7EB9DC"/>
    <w:rsid w:val="BDDFB450"/>
    <w:rsid w:val="BF7B524F"/>
    <w:rsid w:val="BFF28FD0"/>
    <w:rsid w:val="BFF3C939"/>
    <w:rsid w:val="BFF7F13A"/>
    <w:rsid w:val="C7FBE068"/>
    <w:rsid w:val="CADD51F8"/>
    <w:rsid w:val="CB1FCBF5"/>
    <w:rsid w:val="CB2F22CF"/>
    <w:rsid w:val="CCEC58E9"/>
    <w:rsid w:val="CEB753BA"/>
    <w:rsid w:val="CFEFFE8F"/>
    <w:rsid w:val="CFFE5030"/>
    <w:rsid w:val="CFFE7714"/>
    <w:rsid w:val="CFFF7496"/>
    <w:rsid w:val="D37DB47F"/>
    <w:rsid w:val="D3F2E54B"/>
    <w:rsid w:val="D6FA1FE6"/>
    <w:rsid w:val="D73FD51A"/>
    <w:rsid w:val="D777469B"/>
    <w:rsid w:val="D7A77C02"/>
    <w:rsid w:val="DCEF0891"/>
    <w:rsid w:val="DD4E173F"/>
    <w:rsid w:val="DDCB5587"/>
    <w:rsid w:val="DE364BCC"/>
    <w:rsid w:val="DE7FE928"/>
    <w:rsid w:val="DEAF73B8"/>
    <w:rsid w:val="DEDB04C5"/>
    <w:rsid w:val="DEE4CF86"/>
    <w:rsid w:val="DF57A3BA"/>
    <w:rsid w:val="DF5F9254"/>
    <w:rsid w:val="DF6A7ED7"/>
    <w:rsid w:val="DFBF77E2"/>
    <w:rsid w:val="DFEE1ED9"/>
    <w:rsid w:val="DFFB3F0D"/>
    <w:rsid w:val="DFFF16DA"/>
    <w:rsid w:val="DFFF9C19"/>
    <w:rsid w:val="DFFFC63D"/>
    <w:rsid w:val="E35F33F1"/>
    <w:rsid w:val="E8D60029"/>
    <w:rsid w:val="EADDBA8B"/>
    <w:rsid w:val="EBD6B746"/>
    <w:rsid w:val="EBF7B794"/>
    <w:rsid w:val="EDDFBD9A"/>
    <w:rsid w:val="EDF7C53B"/>
    <w:rsid w:val="EDFF1C85"/>
    <w:rsid w:val="EEB19032"/>
    <w:rsid w:val="EECF574F"/>
    <w:rsid w:val="EEE9EC77"/>
    <w:rsid w:val="EEF3914B"/>
    <w:rsid w:val="EEF74DD4"/>
    <w:rsid w:val="EEF7BF28"/>
    <w:rsid w:val="EF7F4C37"/>
    <w:rsid w:val="EFAFA163"/>
    <w:rsid w:val="EFAFD0DB"/>
    <w:rsid w:val="EFBB4F6B"/>
    <w:rsid w:val="EFFE63F7"/>
    <w:rsid w:val="F2F2E03D"/>
    <w:rsid w:val="F37E5C3E"/>
    <w:rsid w:val="F5F756A9"/>
    <w:rsid w:val="F6F3291C"/>
    <w:rsid w:val="F6FFB8B2"/>
    <w:rsid w:val="F7777FD5"/>
    <w:rsid w:val="F7BFF423"/>
    <w:rsid w:val="F7CF8D34"/>
    <w:rsid w:val="F7DD1634"/>
    <w:rsid w:val="F7FF2620"/>
    <w:rsid w:val="F83DB463"/>
    <w:rsid w:val="F8DFA607"/>
    <w:rsid w:val="F9772C38"/>
    <w:rsid w:val="FABA1A60"/>
    <w:rsid w:val="FAFFD56D"/>
    <w:rsid w:val="FB4C737C"/>
    <w:rsid w:val="FB5C1258"/>
    <w:rsid w:val="FBEF31C3"/>
    <w:rsid w:val="FBFD4B1D"/>
    <w:rsid w:val="FD2E59F2"/>
    <w:rsid w:val="FD57A6E5"/>
    <w:rsid w:val="FD6B4AA7"/>
    <w:rsid w:val="FD7B481D"/>
    <w:rsid w:val="FD9B9276"/>
    <w:rsid w:val="FDBDC60C"/>
    <w:rsid w:val="FDCF923E"/>
    <w:rsid w:val="FDDDC457"/>
    <w:rsid w:val="FDF8B7FD"/>
    <w:rsid w:val="FDFE8D50"/>
    <w:rsid w:val="FE4510D3"/>
    <w:rsid w:val="FEAF8C9E"/>
    <w:rsid w:val="FEB9B581"/>
    <w:rsid w:val="FEBD3D72"/>
    <w:rsid w:val="FEC856B8"/>
    <w:rsid w:val="FEF4A685"/>
    <w:rsid w:val="FEF690AE"/>
    <w:rsid w:val="FEF7C30C"/>
    <w:rsid w:val="FEFA49BE"/>
    <w:rsid w:val="FEFF12C8"/>
    <w:rsid w:val="FF321B27"/>
    <w:rsid w:val="FF3F0BF2"/>
    <w:rsid w:val="FF3F83D5"/>
    <w:rsid w:val="FF3FBECC"/>
    <w:rsid w:val="FF6FAB12"/>
    <w:rsid w:val="FF7674D4"/>
    <w:rsid w:val="FF79C504"/>
    <w:rsid w:val="FF7F9AE4"/>
    <w:rsid w:val="FFB7789A"/>
    <w:rsid w:val="FFCE1661"/>
    <w:rsid w:val="FFEFFE83"/>
    <w:rsid w:val="FFF5970B"/>
    <w:rsid w:val="FFF7E364"/>
    <w:rsid w:val="FFFA5CDC"/>
    <w:rsid w:val="FFFE0D8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8</Pages>
  <Words>2324</Words>
  <Characters>2411</Characters>
  <Lines>24</Lines>
  <Paragraphs>6</Paragraphs>
  <TotalTime>19</TotalTime>
  <ScaleCrop>false</ScaleCrop>
  <LinksUpToDate>false</LinksUpToDate>
  <CharactersWithSpaces>2423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2023-02-24T06:14:00Z</dcterms:created>
  <dc:creator>xihari</dc:creator>
  <cp:lastModifiedBy>xinhuawang</cp:lastModifiedBy>
  <cp:lastPrinted>2025-03-10T10:47:00Z</cp:lastPrinted>
  <dcterms:modified xsi:type="dcterms:W3CDTF">2025-03-10T10:11:02Z</dcterms:modified>
  <dc:title>附件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35BCEF72A6F943D9BCDEFF88F26665FE_13</vt:lpwstr>
  </property>
  <property fmtid="{D5CDD505-2E9C-101B-9397-08002B2CF9AE}" pid="4" name="KSOTemplateDocerSaveRecord">
    <vt:lpwstr>eyJoZGlkIjoiM2Q1ODkzZDNlMTdmMjgzYjNkMjA4NjFjNjNjMGM4N2YifQ==</vt:lpwstr>
  </property>
</Properties>
</file>